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237"/>
        <w:gridCol w:w="7558"/>
      </w:tblGrid>
      <w:tr>
        <w:trPr>
          <w:trHeight w:val="440" w:hRule="atLeast"/>
        </w:trPr>
        <w:tc>
          <w:tcPr>
            <w:tcW w:w="2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before="0" w:after="0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cs="Times New Roman" w:ascii="Times New Roman" w:hAnsi="Times New Roman"/>
                <w:b/>
                <w:bCs/>
                <w:lang w:val="hr-HR"/>
              </w:rPr>
              <w:t>Tip uređaja</w:t>
            </w:r>
          </w:p>
        </w:tc>
        <w:tc>
          <w:tcPr>
            <w:tcW w:w="7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before="0" w:after="0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cs="Times New Roman" w:ascii="Times New Roman" w:hAnsi="Times New Roman"/>
                <w:b/>
                <w:lang w:val="hr-HR"/>
              </w:rPr>
              <w:t>Next generation firewall – vatrozid nove generacije</w:t>
            </w:r>
          </w:p>
        </w:tc>
      </w:tr>
      <w:tr>
        <w:trPr>
          <w:trHeight w:val="174" w:hRule="atLeast"/>
        </w:trPr>
        <w:tc>
          <w:tcPr>
            <w:tcW w:w="2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Hardverske specifikacije</w:t>
            </w:r>
          </w:p>
        </w:tc>
        <w:tc>
          <w:tcPr>
            <w:tcW w:w="7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 xml:space="preserve">1 GbE RJ45 sučelja: 16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1 GbE SFP sučelja: 8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1/10 GbE SFP+ sučelja: 4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1 GbE RJ45 sučelje za visoku dostupnost: 1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bookmarkStart w:id="0" w:name="_Hlk121846465"/>
            <w:r>
              <w:rPr>
                <w:rFonts w:cs="Times New Roman" w:ascii="Times New Roman" w:hAnsi="Times New Roman"/>
                <w:lang w:val="hr-HR"/>
              </w:rPr>
              <w:t>1 GbE RJ45 sučelje za nadzor: 1</w:t>
            </w:r>
            <w:bookmarkEnd w:id="0"/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Konzolno RJ45 serijsko sučelje: 1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USB sučelja: 1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Ugrađeno redundanto napajanje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Mogućnost ugradnje u komunikacijski ormar (rack), 1U veličina</w:t>
            </w:r>
          </w:p>
        </w:tc>
      </w:tr>
      <w:tr>
        <w:trPr>
          <w:trHeight w:val="174" w:hRule="atLeast"/>
        </w:trPr>
        <w:tc>
          <w:tcPr>
            <w:tcW w:w="2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 xml:space="preserve">Sistemske performanse </w:t>
            </w:r>
          </w:p>
        </w:tc>
        <w:tc>
          <w:tcPr>
            <w:tcW w:w="7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Vatrozidna propusnost (1518 byte UDP paketi):39 Gb/s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Vatrozidna latencija (64 byte UDP paketi): 3,17 µs</w:t>
            </w:r>
            <w:r>
              <w:rPr>
                <w:rFonts w:cs="Times New Roman" w:ascii="Times New Roman" w:hAnsi="Times New Roman"/>
                <w:color w:val="FF0000"/>
                <w:lang w:val="hr-HR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Vatrozidna propusnost (paketa u sekundi): 42 Mp/s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IPSec VPN propusnost (512 byte paketi): 35 Gb/s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Gateway-to-Gateway IPSec VPN tunela: 2000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Client-to-Gateway IPSec VPN tunela: 16000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SSL-VPN propusnost: 1,5 Gb/s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Propunost kontrole aplikacija: 6,7 Gb/s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IPS propusnost: 5,3 Gb/s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Konkurentnih SSL-VPN korisnika: 500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Konkurentnih TCP sesija: 3000000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Novih TCP sesija u sekundi: 140000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Vatrozidnih pravila (politika): 10000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Uključene virtualne instance (besplatne): 10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Mogućnost upravljanja bežičnim pristupnim točkama (AP): 64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Mogućnost upravljanja preklopnicima (switch): 32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Bežični kontroler CAPWAP propusnost: 35 Gb/s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Broj upravljivih  OTP tokena – 2FA autentikacija: 5000</w:t>
            </w:r>
          </w:p>
        </w:tc>
      </w:tr>
      <w:tr>
        <w:trPr>
          <w:trHeight w:val="174" w:hRule="atLeast"/>
        </w:trPr>
        <w:tc>
          <w:tcPr>
            <w:tcW w:w="2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Značajke</w:t>
            </w:r>
          </w:p>
        </w:tc>
        <w:tc>
          <w:tcPr>
            <w:tcW w:w="7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Ključne značajke:</w:t>
            </w:r>
          </w:p>
          <w:p>
            <w:pPr>
              <w:pStyle w:val="Normal"/>
              <w:numPr>
                <w:ilvl w:val="3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Podrška za dinamičke protokole usmjeravanja – RIP, BGP, OSPF</w:t>
            </w:r>
          </w:p>
          <w:p>
            <w:pPr>
              <w:pStyle w:val="Normal"/>
              <w:numPr>
                <w:ilvl w:val="3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 xml:space="preserve">SD-WAN kontroler – mogućnost dinamičkog usmjeravanja odlaznog prometa za definirane aplikacije i Internet servise </w:t>
            </w:r>
          </w:p>
          <w:p>
            <w:pPr>
              <w:pStyle w:val="Normal"/>
              <w:numPr>
                <w:ilvl w:val="3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Transparent i Route/NAT način rada</w:t>
            </w:r>
          </w:p>
          <w:p>
            <w:pPr>
              <w:pStyle w:val="Normal"/>
              <w:numPr>
                <w:ilvl w:val="3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IPSec VPN i SSL-VPN podrška</w:t>
            </w:r>
          </w:p>
          <w:p>
            <w:pPr>
              <w:pStyle w:val="Normal"/>
              <w:numPr>
                <w:ilvl w:val="3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QoS i Traffic Shaping podrška</w:t>
            </w:r>
          </w:p>
          <w:p>
            <w:pPr>
              <w:pStyle w:val="Normal"/>
              <w:numPr>
                <w:ilvl w:val="3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Detekcija i prevencija napada – IPS</w:t>
            </w:r>
          </w:p>
          <w:p>
            <w:pPr>
              <w:pStyle w:val="Normal"/>
              <w:numPr>
                <w:ilvl w:val="3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Antivirusna zaštita</w:t>
            </w:r>
          </w:p>
          <w:p>
            <w:pPr>
              <w:pStyle w:val="Normal"/>
              <w:numPr>
                <w:ilvl w:val="3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Uključena sandbox cloud zero-day inspekcija prometa</w:t>
            </w:r>
          </w:p>
          <w:p>
            <w:pPr>
              <w:pStyle w:val="Normal"/>
              <w:numPr>
                <w:ilvl w:val="3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Web inspekcija i filtriranje</w:t>
            </w:r>
          </w:p>
          <w:p>
            <w:pPr>
              <w:pStyle w:val="Normal"/>
              <w:numPr>
                <w:ilvl w:val="3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Kontrola aplikacija</w:t>
            </w:r>
          </w:p>
          <w:p>
            <w:pPr>
              <w:pStyle w:val="Normal"/>
              <w:numPr>
                <w:ilvl w:val="3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DNS inspekcija i filtriranje</w:t>
            </w:r>
          </w:p>
          <w:p>
            <w:pPr>
              <w:pStyle w:val="Normal"/>
              <w:numPr>
                <w:ilvl w:val="3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Filtriranje video sadržaja</w:t>
            </w:r>
          </w:p>
          <w:p>
            <w:pPr>
              <w:pStyle w:val="Normal"/>
              <w:numPr>
                <w:ilvl w:val="3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Bežični/Preklopnik kontroler</w:t>
            </w:r>
          </w:p>
          <w:p>
            <w:pPr>
              <w:pStyle w:val="Normal"/>
              <w:numPr>
                <w:ilvl w:val="3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IPv6  podrška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Mogućnost upravljanja cijelom konfiguracijom vatrozida, preklopnika i bežičnih preklopnih točki preko jedinstvene konzole (GUI i CLI pristup).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Uređaj mora biti  usklađen sa standardima CE, CB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Uređaj mora biti u mogućnost rada u sustavu visoke dostupnosti s uključenim servisima i podrškom na svakom uređaju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</w:r>
          </w:p>
        </w:tc>
      </w:tr>
      <w:tr>
        <w:trPr>
          <w:trHeight w:val="556" w:hRule="atLeast"/>
        </w:trPr>
        <w:tc>
          <w:tcPr>
            <w:tcW w:w="97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cs="Times New Roman" w:ascii="Times New Roman" w:hAnsi="Times New Roman"/>
                <w:b/>
                <w:lang w:val="hr-HR"/>
              </w:rPr>
              <w:t>Napajanje, Jamstvo i Podrška</w:t>
            </w:r>
          </w:p>
        </w:tc>
      </w:tr>
      <w:tr>
        <w:trPr>
          <w:trHeight w:val="583" w:hRule="atLeast"/>
        </w:trPr>
        <w:tc>
          <w:tcPr>
            <w:tcW w:w="2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Specifikacije napajanja</w:t>
            </w:r>
          </w:p>
        </w:tc>
        <w:tc>
          <w:tcPr>
            <w:tcW w:w="7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AC napajanje: 100-240V AC</w:t>
            </w:r>
          </w:p>
        </w:tc>
      </w:tr>
      <w:tr>
        <w:trPr>
          <w:trHeight w:val="598" w:hRule="atLeast"/>
        </w:trPr>
        <w:tc>
          <w:tcPr>
            <w:tcW w:w="2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Jamstvo i Podrška</w:t>
            </w:r>
          </w:p>
        </w:tc>
        <w:tc>
          <w:tcPr>
            <w:tcW w:w="7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 xml:space="preserve">Podrška od strane proizvođača u trajanju od </w:t>
            </w:r>
            <w:r>
              <w:rPr>
                <w:rFonts w:cs="Times New Roman" w:ascii="Times New Roman" w:hAnsi="Times New Roman"/>
                <w:shd w:fill="auto" w:val="clear"/>
                <w:lang w:val="hr-HR"/>
              </w:rPr>
              <w:t>dvije</w:t>
            </w:r>
            <w:r>
              <w:rPr>
                <w:rFonts w:cs="Times New Roman" w:ascii="Times New Roman" w:hAnsi="Times New Roman"/>
                <w:lang w:val="hr-HR"/>
              </w:rPr>
              <w:t xml:space="preserve"> godine koja uključuje:</w:t>
            </w:r>
          </w:p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Zamjena uređaja u slučaju hardverskog kvara</w:t>
            </w:r>
          </w:p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Tehnička  podrška, 7 dana u tjednu, 24 sata dnevno</w:t>
            </w:r>
          </w:p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Odziv u roku 1 sata za kritične probleme, i u roku od 24 sata za ne kritične probleme</w:t>
            </w:r>
          </w:p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Besplatne nadogradnje na sve  novije operativne verzije</w:t>
            </w:r>
          </w:p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Automatska obnova svih sigurnosnih značajki i njihovih potpisa</w:t>
            </w:r>
          </w:p>
        </w:tc>
      </w:tr>
    </w:tbl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spacing w:before="0" w:after="200"/>
        <w:rPr>
          <w:lang w:val="hr-HR"/>
        </w:rPr>
      </w:pPr>
      <w:r>
        <w:rPr>
          <w:lang w:val="hr-HR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start"/>
      <w:pPr>
        <w:tabs>
          <w:tab w:val="num" w:pos="567"/>
        </w:tabs>
        <w:ind w:start="567" w:hanging="283"/>
      </w:pPr>
      <w:rPr>
        <w:rFonts w:ascii="Symbol" w:hAnsi="Symbol" w:cs="Symbol" w:hint="default"/>
        <w:sz w:val="18"/>
      </w:rPr>
    </w:lvl>
    <w:lvl w:ilvl="2">
      <w:start w:val="1"/>
      <w:numFmt w:val="bullet"/>
      <w:lvlText w:val=""/>
      <w:lvlJc w:val="start"/>
      <w:pPr>
        <w:tabs>
          <w:tab w:val="num" w:pos="850"/>
        </w:tabs>
        <w:ind w:start="850" w:hanging="283"/>
      </w:pPr>
      <w:rPr>
        <w:rFonts w:ascii="Symbol" w:hAnsi="Symbol" w:cs="Symbol" w:hint="default"/>
        <w:sz w:val="18"/>
      </w:rPr>
    </w:lvl>
    <w:lvl w:ilvl="3">
      <w:start w:val="1"/>
      <w:numFmt w:val="bullet"/>
      <w:lvlText w:val=""/>
      <w:lvlJc w:val="start"/>
      <w:pPr>
        <w:tabs>
          <w:tab w:val="num" w:pos="1134"/>
        </w:tabs>
        <w:ind w:start="1134" w:hanging="283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"/>
      <w:lvlJc w:val="start"/>
      <w:pPr>
        <w:tabs>
          <w:tab w:val="num" w:pos="1417"/>
        </w:tabs>
        <w:ind w:start="1417" w:hanging="283"/>
      </w:pPr>
      <w:rPr>
        <w:rFonts w:ascii="Symbol" w:hAnsi="Symbol" w:cs="Symbol" w:hint="default"/>
        <w:sz w:val="18"/>
      </w:rPr>
    </w:lvl>
    <w:lvl w:ilvl="5">
      <w:start w:val="1"/>
      <w:numFmt w:val="bullet"/>
      <w:lvlText w:val=""/>
      <w:lvlJc w:val="start"/>
      <w:pPr>
        <w:tabs>
          <w:tab w:val="num" w:pos="1701"/>
        </w:tabs>
        <w:ind w:start="1701" w:hanging="283"/>
      </w:pPr>
      <w:rPr>
        <w:rFonts w:ascii="Symbol" w:hAnsi="Symbol" w:cs="Symbol" w:hint="default"/>
        <w:sz w:val="18"/>
      </w:rPr>
    </w:lvl>
    <w:lvl w:ilvl="6">
      <w:start w:val="1"/>
      <w:numFmt w:val="bullet"/>
      <w:lvlText w:val=""/>
      <w:lvlJc w:val="start"/>
      <w:pPr>
        <w:tabs>
          <w:tab w:val="num" w:pos="1984"/>
        </w:tabs>
        <w:ind w:start="1984" w:hanging="283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"/>
      <w:lvlJc w:val="start"/>
      <w:pPr>
        <w:tabs>
          <w:tab w:val="num" w:pos="2268"/>
        </w:tabs>
        <w:ind w:start="2268" w:hanging="283"/>
      </w:pPr>
      <w:rPr>
        <w:rFonts w:ascii="Symbol" w:hAnsi="Symbol" w:cs="Symbol" w:hint="default"/>
        <w:sz w:val="18"/>
      </w:rPr>
    </w:lvl>
    <w:lvl w:ilvl="8">
      <w:start w:val="1"/>
      <w:numFmt w:val="bullet"/>
      <w:lvlText w:val=""/>
      <w:lvlJc w:val="start"/>
      <w:pPr>
        <w:tabs>
          <w:tab w:val="num" w:pos="2551"/>
        </w:tabs>
        <w:ind w:start="2551" w:hanging="283"/>
      </w:pPr>
      <w:rPr>
        <w:rFonts w:ascii="Symbol" w:hAnsi="Symbol" w:cs="Symbol" w:hint="default"/>
        <w:sz w:val="18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Normal"/>
    <w:link w:val="Heading3Char"/>
    <w:uiPriority w:val="9"/>
    <w:qFormat/>
    <w:rsid w:val="005f3498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ro-RO" w:eastAsia="ro-RO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uiPriority w:val="9"/>
    <w:qFormat/>
    <w:rsid w:val="005f3498"/>
    <w:rPr>
      <w:rFonts w:ascii="Times New Roman" w:hAnsi="Times New Roman" w:eastAsia="Times New Roman" w:cs="Times New Roman"/>
      <w:b/>
      <w:bCs/>
      <w:sz w:val="27"/>
      <w:szCs w:val="27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5f349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f3498"/>
    <w:rPr>
      <w:i/>
      <w:iCs/>
    </w:rPr>
  </w:style>
  <w:style w:type="character" w:styleId="HeaderChar" w:customStyle="1">
    <w:name w:val="Header Char"/>
    <w:basedOn w:val="DefaultParagraphFont"/>
    <w:uiPriority w:val="99"/>
    <w:qFormat/>
    <w:rsid w:val="0015380f"/>
    <w:rPr/>
  </w:style>
  <w:style w:type="character" w:styleId="FooterChar" w:customStyle="1">
    <w:name w:val="Footer Char"/>
    <w:basedOn w:val="DefaultParagraphFont"/>
    <w:uiPriority w:val="99"/>
    <w:qFormat/>
    <w:rsid w:val="0015380f"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7222f"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rsid w:val="004a4001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5380f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15380f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952C-962A-4B7B-91D3-A8667A03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LibreOffice/25.8.4.2$Windows_X86_64 LibreOffice_project/290daaa01b999472f0c7a3890eb6a550fd74c6df</Application>
  <AppVersion>15.0000</AppVersion>
  <Pages>2</Pages>
  <Words>417</Words>
  <Characters>2335</Characters>
  <CharactersWithSpaces>2858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2026-02-19T07:45:00Z</dcterms:created>
  <dc:creator/>
  <dc:description/>
  <dc:language>hr-HR</dc:language>
  <cp:lastModifiedBy/>
  <dcterms:modified xsi:type="dcterms:W3CDTF">2026-03-06T08:37:28Z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