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3.emf" ContentType="image/x-emf"/>
  <Override PartName="/word/media/image2.emf" ContentType="image/x-emf"/>
  <Override PartName="/word/embeddings/oleObject1.xlsx" ContentType="application/vnd.openxmlformats-officedocument.spreadsheetml.sheet"/>
  <Override PartName="/word/embeddings/oleObject2.xlsx" ContentType="application/vnd.openxmlformats-officedocument.spreadsheetml.sheet"/>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rPr>
          <w:b/>
          <w:sz w:val="26"/>
          <w:szCs w:val="26"/>
        </w:rPr>
      </w:pPr>
      <w:r>
        <w:drawing>
          <wp:anchor behindDoc="0" distT="0" distB="0" distL="114935" distR="114935" simplePos="0" locked="0" layoutInCell="0" allowOverlap="1" relativeHeight="2">
            <wp:simplePos x="0" y="0"/>
            <wp:positionH relativeFrom="column">
              <wp:posOffset>0</wp:posOffset>
            </wp:positionH>
            <wp:positionV relativeFrom="paragraph">
              <wp:posOffset>5080</wp:posOffset>
            </wp:positionV>
            <wp:extent cx="748665" cy="77216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748665" cy="772160"/>
                    </a:xfrm>
                    <a:prstGeom prst="rect">
                      <a:avLst/>
                    </a:prstGeom>
                  </pic:spPr>
                </pic:pic>
              </a:graphicData>
            </a:graphic>
          </wp:anchor>
        </w:drawing>
      </w:r>
      <w:r>
        <w:rPr>
          <w:b/>
          <w:sz w:val="26"/>
          <w:szCs w:val="26"/>
        </w:rPr>
        <w:t>OPĆA  I VETERANSKA  BOLNICA "HRVATSKI PONOS" KNIN</w:t>
      </w:r>
    </w:p>
    <w:p>
      <w:pPr>
        <w:pStyle w:val="Normal"/>
        <w:widowControl w:val="false"/>
        <w:rPr>
          <w:sz w:val="26"/>
          <w:szCs w:val="26"/>
        </w:rPr>
      </w:pPr>
      <w:r>
        <w:rPr>
          <w:b/>
          <w:sz w:val="26"/>
          <w:szCs w:val="26"/>
        </w:rPr>
        <w:t>Svetoslava Suronje 12, 22 300 Knin, OIB: 70948165237</w:t>
      </w:r>
    </w:p>
    <w:p>
      <w:pPr>
        <w:pStyle w:val="Normal"/>
        <w:widowControl w:val="false"/>
        <w:pBdr>
          <w:bottom w:val="single" w:sz="8" w:space="2" w:color="000001"/>
        </w:pBdr>
        <w:rPr/>
      </w:pPr>
      <w:r>
        <w:rPr>
          <w:b/>
          <w:sz w:val="26"/>
          <w:szCs w:val="26"/>
        </w:rPr>
        <w:t xml:space="preserve">Tel.022/641-101, Fax.022/663-963, bolnica@obhpknin.hr                        </w:t>
      </w:r>
    </w:p>
    <w:p>
      <w:pPr>
        <w:pStyle w:val="Normal"/>
        <w:widowControl w:val="false"/>
        <w:spacing w:before="280" w:after="280"/>
        <w:jc w:val="center"/>
        <w:rPr>
          <w:b/>
          <w:sz w:val="28"/>
          <w:szCs w:val="28"/>
        </w:rPr>
      </w:pPr>
      <w:r>
        <w:rPr>
          <w:b/>
          <w:sz w:val="28"/>
          <w:szCs w:val="28"/>
        </w:rPr>
      </w:r>
    </w:p>
    <w:p>
      <w:pPr>
        <w:pStyle w:val="Normal"/>
        <w:spacing w:lineRule="auto" w:line="276"/>
        <w:rPr/>
      </w:pPr>
      <w:r>
        <w:rPr/>
      </w:r>
    </w:p>
    <w:p>
      <w:pPr>
        <w:pStyle w:val="Normal"/>
        <w:spacing w:lineRule="auto" w:line="276"/>
        <w:jc w:val="center"/>
        <w:rPr>
          <w:b/>
          <w:sz w:val="60"/>
          <w:szCs w:val="60"/>
        </w:rPr>
      </w:pPr>
      <w:r>
        <w:rPr>
          <w:b/>
          <w:sz w:val="60"/>
          <w:szCs w:val="60"/>
        </w:rPr>
      </w:r>
    </w:p>
    <w:p>
      <w:pPr>
        <w:pStyle w:val="Normal"/>
        <w:spacing w:lineRule="auto" w:line="276"/>
        <w:jc w:val="center"/>
        <w:rPr>
          <w:b/>
          <w:sz w:val="60"/>
          <w:szCs w:val="60"/>
        </w:rPr>
      </w:pPr>
      <w:r>
        <w:rPr>
          <w:b/>
          <w:sz w:val="60"/>
          <w:szCs w:val="60"/>
        </w:rPr>
      </w:r>
    </w:p>
    <w:p>
      <w:pPr>
        <w:pStyle w:val="Normal"/>
        <w:spacing w:lineRule="auto" w:line="276"/>
        <w:jc w:val="center"/>
        <w:rPr>
          <w:b/>
          <w:sz w:val="40"/>
          <w:szCs w:val="40"/>
        </w:rPr>
      </w:pPr>
      <w:r>
        <w:rPr>
          <w:b/>
          <w:sz w:val="60"/>
          <w:szCs w:val="60"/>
        </w:rPr>
        <w:t>GODIŠNJI IZVJEŠTAJ</w:t>
      </w:r>
    </w:p>
    <w:p>
      <w:pPr>
        <w:pStyle w:val="Normal"/>
        <w:spacing w:lineRule="auto" w:line="276"/>
        <w:jc w:val="center"/>
        <w:rPr>
          <w:b/>
          <w:sz w:val="40"/>
          <w:szCs w:val="40"/>
        </w:rPr>
      </w:pPr>
      <w:r>
        <w:rPr>
          <w:b/>
          <w:sz w:val="40"/>
          <w:szCs w:val="40"/>
        </w:rPr>
      </w:r>
    </w:p>
    <w:p>
      <w:pPr>
        <w:pStyle w:val="Normal"/>
        <w:spacing w:lineRule="auto" w:line="360"/>
        <w:jc w:val="center"/>
        <w:rPr/>
      </w:pPr>
      <w:r>
        <w:rPr>
          <w:sz w:val="44"/>
          <w:szCs w:val="44"/>
        </w:rPr>
        <w:t xml:space="preserve">O IZVRŠENJU FINANCIJSKOG PLANA </w:t>
      </w:r>
    </w:p>
    <w:p>
      <w:pPr>
        <w:pStyle w:val="Normal"/>
        <w:spacing w:lineRule="auto" w:line="360"/>
        <w:jc w:val="center"/>
        <w:rPr/>
      </w:pPr>
      <w:r>
        <w:rPr>
          <w:sz w:val="44"/>
          <w:szCs w:val="44"/>
        </w:rPr>
        <w:t xml:space="preserve">OPĆE I VETERANSKE BOLNICE „HRVATSKI PONOS” KNIN </w:t>
      </w:r>
    </w:p>
    <w:p>
      <w:pPr>
        <w:pStyle w:val="Normal"/>
        <w:spacing w:lineRule="auto" w:line="360"/>
        <w:jc w:val="center"/>
        <w:rPr/>
      </w:pPr>
      <w:r>
        <w:rPr>
          <w:sz w:val="44"/>
          <w:szCs w:val="44"/>
        </w:rPr>
        <w:t>ZA RAZDOBLJE I.-XII. 2025. GODINE</w:t>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jc w:val="center"/>
        <w:rPr/>
      </w:pPr>
      <w:r>
        <w:rPr/>
      </w:r>
    </w:p>
    <w:p>
      <w:pPr>
        <w:pStyle w:val="Normal"/>
        <w:spacing w:lineRule="auto" w:line="276"/>
        <w:rPr>
          <w:b/>
        </w:rPr>
      </w:pPr>
      <w:r>
        <w:rPr>
          <w:b/>
        </w:rPr>
      </w:r>
    </w:p>
    <w:p>
      <w:pPr>
        <w:pStyle w:val="Normal"/>
        <w:spacing w:lineRule="auto" w:line="276"/>
        <w:jc w:val="center"/>
        <w:rPr>
          <w:rFonts w:ascii="Arial Black" w:hAnsi="Arial Black"/>
          <w:b/>
          <w:sz w:val="28"/>
          <w:szCs w:val="28"/>
        </w:rPr>
      </w:pPr>
      <w:r>
        <w:rPr>
          <w:rFonts w:ascii="Arial Black" w:hAnsi="Arial Black"/>
          <w:b/>
          <w:sz w:val="28"/>
          <w:szCs w:val="28"/>
        </w:rPr>
      </w:r>
    </w:p>
    <w:p>
      <w:pPr>
        <w:pStyle w:val="Normal"/>
        <w:spacing w:lineRule="auto" w:line="276"/>
        <w:jc w:val="center"/>
        <w:rPr>
          <w:rFonts w:ascii="Arial Black" w:hAnsi="Arial Black"/>
          <w:b/>
          <w:sz w:val="28"/>
          <w:szCs w:val="28"/>
        </w:rPr>
      </w:pPr>
      <w:r>
        <w:rPr>
          <w:rFonts w:ascii="Arial Black" w:hAnsi="Arial Black"/>
          <w:b/>
          <w:sz w:val="28"/>
          <w:szCs w:val="28"/>
        </w:rPr>
      </w:r>
    </w:p>
    <w:p>
      <w:pPr>
        <w:pStyle w:val="Normal"/>
        <w:spacing w:lineRule="auto" w:line="276"/>
        <w:jc w:val="center"/>
        <w:rPr>
          <w:rFonts w:ascii="Arial Black" w:hAnsi="Arial Black"/>
          <w:b/>
          <w:sz w:val="28"/>
          <w:szCs w:val="28"/>
        </w:rPr>
      </w:pPr>
      <w:r>
        <w:rPr>
          <w:rFonts w:ascii="Arial Black" w:hAnsi="Arial Black"/>
          <w:b/>
          <w:sz w:val="28"/>
          <w:szCs w:val="28"/>
        </w:rPr>
      </w:r>
    </w:p>
    <w:p>
      <w:pPr>
        <w:pStyle w:val="Normal"/>
        <w:spacing w:lineRule="auto" w:line="276"/>
        <w:jc w:val="center"/>
        <w:rPr>
          <w:rFonts w:ascii="Arial Black" w:hAnsi="Arial Black"/>
          <w:b/>
          <w:sz w:val="28"/>
          <w:szCs w:val="28"/>
        </w:rPr>
      </w:pPr>
      <w:r>
        <w:rPr>
          <w:rFonts w:ascii="Arial Black" w:hAnsi="Arial Black"/>
          <w:b/>
          <w:sz w:val="28"/>
          <w:szCs w:val="28"/>
        </w:rPr>
      </w:r>
    </w:p>
    <w:p>
      <w:pPr>
        <w:pStyle w:val="Normal"/>
        <w:spacing w:lineRule="auto" w:line="276"/>
        <w:rPr/>
      </w:pPr>
      <w:r>
        <w:rPr/>
      </w:r>
    </w:p>
    <w:p>
      <w:pPr>
        <w:pStyle w:val="Normal"/>
        <w:spacing w:lineRule="auto" w:line="276"/>
        <w:jc w:val="center"/>
        <w:rPr>
          <w:sz w:val="28"/>
          <w:szCs w:val="28"/>
        </w:rPr>
      </w:pPr>
      <w:r>
        <w:rPr>
          <w:sz w:val="28"/>
          <w:szCs w:val="28"/>
        </w:rPr>
      </w:r>
    </w:p>
    <w:p>
      <w:pPr>
        <w:pStyle w:val="Normal"/>
        <w:spacing w:lineRule="auto" w:line="276"/>
        <w:jc w:val="center"/>
        <w:rPr/>
      </w:pPr>
      <w:r>
        <w:rPr/>
        <w:t>Knin, ožujak 2026. godine</w:t>
      </w:r>
    </w:p>
    <w:p>
      <w:pPr>
        <w:pStyle w:val="Normal"/>
        <w:spacing w:lineRule="auto" w:line="276"/>
        <w:jc w:val="both"/>
        <w:rPr>
          <w:b/>
          <w:bCs/>
        </w:rPr>
      </w:pPr>
      <w:r>
        <w:rPr>
          <w:b/>
          <w:bCs/>
        </w:rPr>
        <w:t>UVOD</w:t>
      </w:r>
    </w:p>
    <w:p>
      <w:pPr>
        <w:pStyle w:val="Normal"/>
        <w:spacing w:lineRule="auto" w:line="276"/>
        <w:jc w:val="both"/>
        <w:rPr/>
      </w:pPr>
      <w:r>
        <w:rPr/>
      </w:r>
    </w:p>
    <w:p>
      <w:pPr>
        <w:pStyle w:val="Heading2"/>
        <w:rPr>
          <w:sz w:val="22"/>
          <w:szCs w:val="22"/>
        </w:rPr>
      </w:pPr>
      <w:r>
        <w:rPr>
          <w:sz w:val="22"/>
          <w:szCs w:val="22"/>
        </w:rPr>
        <w:t>43804 Opća i veteranska bolnica "Hrvatski Ponos" Knin</w:t>
      </w:r>
    </w:p>
    <w:p>
      <w:pPr>
        <w:pStyle w:val="Normal"/>
        <w:spacing w:lineRule="auto" w:line="360"/>
        <w:rPr>
          <w:sz w:val="22"/>
          <w:szCs w:val="22"/>
        </w:rPr>
      </w:pPr>
      <w:r>
        <w:rPr>
          <w:sz w:val="22"/>
          <w:szCs w:val="22"/>
        </w:rPr>
        <w:t xml:space="preserve">prema statutu je javna ustanova koja obavlja zdravstvenu djelatnost sukladno Zakonu o zdravstvenoj zaštiti i to: </w:t>
      </w:r>
    </w:p>
    <w:p>
      <w:pPr>
        <w:pStyle w:val="Normal"/>
        <w:spacing w:lineRule="auto" w:line="360"/>
        <w:jc w:val="both"/>
        <w:rPr>
          <w:sz w:val="22"/>
          <w:szCs w:val="22"/>
        </w:rPr>
      </w:pPr>
      <w:r>
        <w:rPr>
          <w:sz w:val="22"/>
          <w:szCs w:val="22"/>
        </w:rPr>
        <w:t xml:space="preserve">   • </w:t>
      </w:r>
      <w:r>
        <w:rPr>
          <w:sz w:val="22"/>
          <w:szCs w:val="22"/>
        </w:rPr>
        <w:t xml:space="preserve">bolnička zdravstvena zaštita bolesnika od akutne bolesti, </w:t>
      </w:r>
    </w:p>
    <w:p>
      <w:pPr>
        <w:pStyle w:val="Normal"/>
        <w:spacing w:lineRule="auto" w:line="360"/>
        <w:jc w:val="both"/>
        <w:rPr>
          <w:sz w:val="22"/>
          <w:szCs w:val="22"/>
        </w:rPr>
      </w:pPr>
      <w:r>
        <w:rPr>
          <w:sz w:val="22"/>
          <w:szCs w:val="22"/>
        </w:rPr>
        <w:t xml:space="preserve">   • </w:t>
      </w:r>
      <w:r>
        <w:rPr>
          <w:sz w:val="22"/>
          <w:szCs w:val="22"/>
        </w:rPr>
        <w:t xml:space="preserve">bolnička zdravstvena zaštita dugotrajnim liječenjem bolesnika s palijativnom skrbi i  </w:t>
      </w:r>
    </w:p>
    <w:p>
      <w:pPr>
        <w:pStyle w:val="Normal"/>
        <w:spacing w:lineRule="auto" w:line="360"/>
        <w:jc w:val="both"/>
        <w:rPr>
          <w:sz w:val="22"/>
          <w:szCs w:val="22"/>
        </w:rPr>
      </w:pPr>
      <w:r>
        <w:rPr>
          <w:sz w:val="22"/>
          <w:szCs w:val="22"/>
        </w:rPr>
        <w:t xml:space="preserve">      </w:t>
      </w:r>
      <w:r>
        <w:rPr>
          <w:sz w:val="22"/>
          <w:szCs w:val="22"/>
        </w:rPr>
        <w:t xml:space="preserve">fizikalnom medicinom i rehabilitacijom,  </w:t>
      </w:r>
    </w:p>
    <w:p>
      <w:pPr>
        <w:pStyle w:val="Normal"/>
        <w:spacing w:lineRule="auto" w:line="360"/>
        <w:jc w:val="both"/>
        <w:rPr>
          <w:sz w:val="22"/>
          <w:szCs w:val="22"/>
        </w:rPr>
      </w:pPr>
      <w:r>
        <w:rPr>
          <w:sz w:val="22"/>
          <w:szCs w:val="22"/>
        </w:rPr>
        <w:t xml:space="preserve">   • </w:t>
      </w:r>
      <w:r>
        <w:rPr>
          <w:sz w:val="22"/>
          <w:szCs w:val="22"/>
        </w:rPr>
        <w:t xml:space="preserve">specijalističko- konzilijarna zdravstvena zaštita, sa specijalističkom dijagnostikom i dnevnom  </w:t>
      </w:r>
    </w:p>
    <w:p>
      <w:pPr>
        <w:pStyle w:val="Normal"/>
        <w:spacing w:lineRule="auto" w:line="360"/>
        <w:jc w:val="both"/>
        <w:rPr>
          <w:sz w:val="22"/>
          <w:szCs w:val="22"/>
        </w:rPr>
      </w:pPr>
      <w:r>
        <w:rPr>
          <w:sz w:val="22"/>
          <w:szCs w:val="22"/>
        </w:rPr>
        <w:t xml:space="preserve">      </w:t>
      </w:r>
      <w:r>
        <w:rPr>
          <w:sz w:val="22"/>
          <w:szCs w:val="22"/>
        </w:rPr>
        <w:t xml:space="preserve">bolnicom, </w:t>
      </w:r>
    </w:p>
    <w:p>
      <w:pPr>
        <w:pStyle w:val="Normal"/>
        <w:spacing w:lineRule="auto" w:line="360"/>
        <w:jc w:val="both"/>
        <w:rPr>
          <w:sz w:val="22"/>
          <w:szCs w:val="22"/>
        </w:rPr>
      </w:pPr>
      <w:r>
        <w:rPr>
          <w:sz w:val="22"/>
          <w:szCs w:val="22"/>
        </w:rPr>
        <w:t xml:space="preserve">   •  </w:t>
      </w:r>
      <w:r>
        <w:rPr>
          <w:sz w:val="22"/>
          <w:szCs w:val="22"/>
        </w:rPr>
        <w:t xml:space="preserve">laboratorijske pretrage na razini primarne zdravstvene zaštite i specijalističko laboratorijske </w:t>
      </w:r>
    </w:p>
    <w:p>
      <w:pPr>
        <w:pStyle w:val="Normal"/>
        <w:spacing w:lineRule="auto" w:line="360"/>
        <w:jc w:val="both"/>
        <w:rPr>
          <w:sz w:val="22"/>
          <w:szCs w:val="22"/>
        </w:rPr>
      </w:pPr>
      <w:r>
        <w:rPr>
          <w:sz w:val="22"/>
          <w:szCs w:val="22"/>
        </w:rPr>
        <w:t xml:space="preserve">      </w:t>
      </w:r>
      <w:r>
        <w:rPr>
          <w:sz w:val="22"/>
          <w:szCs w:val="22"/>
        </w:rPr>
        <w:t xml:space="preserve">dijagnostike. </w:t>
      </w:r>
    </w:p>
    <w:p>
      <w:pPr>
        <w:pStyle w:val="Normal"/>
        <w:jc w:val="both"/>
        <w:rPr>
          <w:sz w:val="22"/>
          <w:szCs w:val="22"/>
        </w:rPr>
      </w:pPr>
      <w:r>
        <w:rPr>
          <w:sz w:val="22"/>
          <w:szCs w:val="22"/>
        </w:rPr>
      </w:r>
    </w:p>
    <w:p>
      <w:pPr>
        <w:pStyle w:val="Normal"/>
        <w:spacing w:lineRule="auto" w:line="360"/>
        <w:rPr>
          <w:sz w:val="22"/>
          <w:szCs w:val="22"/>
        </w:rPr>
      </w:pPr>
      <w:r>
        <w:rPr>
          <w:sz w:val="22"/>
          <w:szCs w:val="22"/>
        </w:rPr>
        <w:t xml:space="preserve">Temeljem Rješenja Trgovačkog suda u Zadru 05. ožujka 2015. godine upisana je u sudski registar promjena naziva ustanove: Opća i veteranska bolnica "Hrvatski ponos" Knin.  </w:t>
      </w:r>
    </w:p>
    <w:p>
      <w:pPr>
        <w:pStyle w:val="Normal"/>
        <w:spacing w:lineRule="auto" w:line="360"/>
        <w:rPr>
          <w:sz w:val="22"/>
          <w:szCs w:val="22"/>
        </w:rPr>
      </w:pPr>
      <w:r>
        <w:rPr>
          <w:sz w:val="22"/>
          <w:szCs w:val="22"/>
        </w:rPr>
        <w:t xml:space="preserve">Za obavljanje i financiranje navedene djelatnosti sklopljen je ugovor s Hrvatskim zavodom za zdravstveno osiguranje:  OVB "Hrvatski ponos" Knin  ugovara i obavlja zdravstvenu zaštitu stanovnika s područja Šibensko-kninske županije, u djelatnosti produženoga liječenja i palijativne skrbi i fizikalne medicine pruža skrb za bolesnike s područja cijele županije i dijelom iz drugih županija. </w:t>
      </w:r>
    </w:p>
    <w:p>
      <w:pPr>
        <w:pStyle w:val="Normal"/>
        <w:spacing w:lineRule="auto" w:line="360"/>
        <w:rPr>
          <w:sz w:val="22"/>
          <w:szCs w:val="22"/>
        </w:rPr>
      </w:pPr>
      <w:r>
        <w:rPr>
          <w:sz w:val="22"/>
          <w:szCs w:val="22"/>
        </w:rPr>
        <w:t xml:space="preserve">Opća i veteranska bolnica "Hrvatski ponos" Knin od 01. siječnja 2024. godine je proračunski  korisnik državnog proračuna, a osnivač joj je Republika Hrvatska. Temeljem članka 86. Zakona o izmjenama i dopunama Zakona o zdravstvenoj zaštiti (Narodne novine, broj 33/23) jedinice područne (regionalne) samouprave i Grad Zagreb od 01. siječnja 2024. godine osnivačka prava nad općim bolnicama prenesena su s jedinica područne (regionalne) samouprave na Republiku Hrvatsku. </w:t>
      </w:r>
    </w:p>
    <w:p>
      <w:pPr>
        <w:pStyle w:val="Normal"/>
        <w:jc w:val="both"/>
        <w:rPr>
          <w:sz w:val="22"/>
          <w:szCs w:val="22"/>
        </w:rPr>
      </w:pPr>
      <w:r>
        <w:rPr>
          <w:sz w:val="22"/>
          <w:szCs w:val="22"/>
        </w:rPr>
      </w:r>
    </w:p>
    <w:p>
      <w:pPr>
        <w:pStyle w:val="Normal"/>
        <w:jc w:val="both"/>
        <w:rPr>
          <w:sz w:val="22"/>
          <w:szCs w:val="22"/>
        </w:rPr>
      </w:pPr>
      <w:r>
        <w:rPr>
          <w:sz w:val="22"/>
          <w:szCs w:val="22"/>
        </w:rPr>
        <w:t xml:space="preserve">Za obavljanje i financiranje poslova iz navedenih djelatnosti Bolnica sredstva za rad i poslove stječe: </w:t>
      </w:r>
    </w:p>
    <w:p>
      <w:pPr>
        <w:pStyle w:val="Normal"/>
        <w:jc w:val="both"/>
        <w:rPr>
          <w:sz w:val="22"/>
          <w:szCs w:val="22"/>
        </w:rPr>
      </w:pPr>
      <w:r>
        <w:rPr>
          <w:sz w:val="22"/>
          <w:szCs w:val="22"/>
        </w:rPr>
      </w:r>
    </w:p>
    <w:p>
      <w:pPr>
        <w:pStyle w:val="Normal"/>
        <w:spacing w:lineRule="auto" w:line="360"/>
        <w:jc w:val="both"/>
        <w:rPr>
          <w:sz w:val="22"/>
          <w:szCs w:val="22"/>
        </w:rPr>
      </w:pPr>
      <w:r>
        <w:rPr>
          <w:sz w:val="22"/>
          <w:szCs w:val="22"/>
        </w:rPr>
        <w:t xml:space="preserve">   • </w:t>
      </w:r>
      <w:r>
        <w:rPr>
          <w:sz w:val="22"/>
          <w:szCs w:val="22"/>
        </w:rPr>
        <w:t xml:space="preserve">ugovaranjem i naplatom zdravstvenih usluga pruženih osiguranicima obveznog i dopunskog          </w:t>
      </w:r>
    </w:p>
    <w:p>
      <w:pPr>
        <w:pStyle w:val="Normal"/>
        <w:spacing w:lineRule="auto" w:line="360"/>
        <w:jc w:val="both"/>
        <w:rPr>
          <w:sz w:val="22"/>
          <w:szCs w:val="22"/>
        </w:rPr>
      </w:pPr>
      <w:r>
        <w:rPr>
          <w:sz w:val="22"/>
          <w:szCs w:val="22"/>
        </w:rPr>
        <w:t xml:space="preserve">      </w:t>
      </w:r>
      <w:r>
        <w:rPr>
          <w:sz w:val="22"/>
          <w:szCs w:val="22"/>
        </w:rPr>
        <w:t xml:space="preserve">zdravstvenog osiguranja, </w:t>
      </w:r>
    </w:p>
    <w:p>
      <w:pPr>
        <w:pStyle w:val="Normal"/>
        <w:spacing w:lineRule="auto" w:line="360"/>
        <w:jc w:val="both"/>
        <w:rPr>
          <w:sz w:val="22"/>
          <w:szCs w:val="22"/>
        </w:rPr>
      </w:pPr>
      <w:r>
        <w:rPr>
          <w:sz w:val="22"/>
          <w:szCs w:val="22"/>
        </w:rPr>
        <w:t xml:space="preserve">    • </w:t>
      </w:r>
      <w:r>
        <w:rPr>
          <w:sz w:val="22"/>
          <w:szCs w:val="22"/>
        </w:rPr>
        <w:t xml:space="preserve">naplatom zdravstvenih usluga pruženih drugim korisnicima fizičkim i pravnim osobama, </w:t>
      </w:r>
    </w:p>
    <w:p>
      <w:pPr>
        <w:pStyle w:val="Normal"/>
        <w:spacing w:lineRule="auto" w:line="360"/>
        <w:jc w:val="both"/>
        <w:rPr>
          <w:sz w:val="22"/>
          <w:szCs w:val="22"/>
        </w:rPr>
      </w:pPr>
      <w:r>
        <w:rPr>
          <w:sz w:val="22"/>
          <w:szCs w:val="22"/>
        </w:rPr>
        <w:t xml:space="preserve">    • </w:t>
      </w:r>
      <w:r>
        <w:rPr>
          <w:sz w:val="22"/>
          <w:szCs w:val="22"/>
        </w:rPr>
        <w:t xml:space="preserve">iz općih prihoda i primitaka, </w:t>
      </w:r>
    </w:p>
    <w:p>
      <w:pPr>
        <w:pStyle w:val="Normal"/>
        <w:spacing w:lineRule="auto" w:line="360"/>
        <w:jc w:val="both"/>
        <w:rPr>
          <w:sz w:val="22"/>
          <w:szCs w:val="22"/>
        </w:rPr>
      </w:pPr>
      <w:r>
        <w:rPr>
          <w:sz w:val="22"/>
          <w:szCs w:val="22"/>
        </w:rPr>
        <w:t xml:space="preserve">    • </w:t>
      </w:r>
      <w:r>
        <w:rPr>
          <w:sz w:val="22"/>
          <w:szCs w:val="22"/>
        </w:rPr>
        <w:t xml:space="preserve">donacijama od fizičkih i pravnih osoba, </w:t>
      </w:r>
    </w:p>
    <w:p>
      <w:pPr>
        <w:pStyle w:val="Normal"/>
        <w:spacing w:lineRule="auto" w:line="360"/>
        <w:jc w:val="both"/>
        <w:rPr>
          <w:sz w:val="22"/>
          <w:szCs w:val="22"/>
        </w:rPr>
      </w:pPr>
      <w:r>
        <w:rPr>
          <w:sz w:val="22"/>
          <w:szCs w:val="22"/>
        </w:rPr>
        <w:t xml:space="preserve">    • </w:t>
      </w:r>
      <w:r>
        <w:rPr>
          <w:sz w:val="22"/>
          <w:szCs w:val="22"/>
        </w:rPr>
        <w:t xml:space="preserve">ugovorom o zakupu prostora, </w:t>
      </w:r>
    </w:p>
    <w:p>
      <w:pPr>
        <w:pStyle w:val="Normal"/>
        <w:spacing w:lineRule="auto" w:line="360"/>
        <w:jc w:val="both"/>
        <w:rPr>
          <w:sz w:val="22"/>
          <w:szCs w:val="22"/>
        </w:rPr>
      </w:pPr>
      <w:r>
        <w:rPr>
          <w:sz w:val="22"/>
          <w:szCs w:val="22"/>
        </w:rPr>
        <w:t xml:space="preserve">    • </w:t>
      </w:r>
      <w:r>
        <w:rPr>
          <w:sz w:val="22"/>
          <w:szCs w:val="22"/>
        </w:rPr>
        <w:t xml:space="preserve">pomoći iz proračuna koji im nije nadležan, </w:t>
      </w:r>
    </w:p>
    <w:p>
      <w:pPr>
        <w:pStyle w:val="Normal"/>
        <w:spacing w:lineRule="auto" w:line="360"/>
        <w:jc w:val="both"/>
        <w:rPr>
          <w:sz w:val="22"/>
          <w:szCs w:val="22"/>
        </w:rPr>
      </w:pPr>
      <w:r>
        <w:rPr>
          <w:sz w:val="22"/>
          <w:szCs w:val="22"/>
        </w:rPr>
        <w:t xml:space="preserve">    • </w:t>
      </w:r>
      <w:r>
        <w:rPr>
          <w:sz w:val="22"/>
          <w:szCs w:val="22"/>
        </w:rPr>
        <w:t xml:space="preserve">drugih izvora. </w:t>
      </w:r>
    </w:p>
    <w:p>
      <w:pPr>
        <w:pStyle w:val="Normal"/>
        <w:spacing w:lineRule="auto" w:line="360"/>
        <w:jc w:val="both"/>
        <w:rPr>
          <w:sz w:val="22"/>
          <w:szCs w:val="22"/>
        </w:rPr>
      </w:pPr>
      <w:r>
        <w:rPr>
          <w:sz w:val="22"/>
          <w:szCs w:val="22"/>
        </w:rPr>
        <w:t xml:space="preserve">Zakonski okvir za izradu ovog izvješća je Zakon o proračunu </w:t>
      </w:r>
      <w:r>
        <w:rPr>
          <w:rFonts w:eastAsia="Liberation Serif;Times New Roma"/>
          <w:sz w:val="22"/>
          <w:szCs w:val="22"/>
        </w:rPr>
        <w:t>(Narodne novine, br. 144/21.), kao i Pravilnik o polugodišnjem i godišnjem izvještaju o izvršenju proračuna i financijskog plana (Narodne novine,  br. 85/23.).</w:t>
      </w:r>
    </w:p>
    <w:p>
      <w:pPr>
        <w:pStyle w:val="Normal"/>
        <w:spacing w:lineRule="auto" w:line="360"/>
        <w:rPr>
          <w:sz w:val="22"/>
          <w:szCs w:val="22"/>
        </w:rPr>
      </w:pPr>
      <w:r>
        <w:rPr>
          <w:sz w:val="22"/>
          <w:szCs w:val="22"/>
        </w:rPr>
      </w:r>
    </w:p>
    <w:p>
      <w:pPr>
        <w:pStyle w:val="Normal"/>
        <w:spacing w:lineRule="auto" w:line="360"/>
        <w:jc w:val="both"/>
        <w:rPr/>
      </w:pPr>
      <w:r>
        <w:rPr/>
      </w:r>
    </w:p>
    <w:p>
      <w:pPr>
        <w:pStyle w:val="Normal"/>
        <w:spacing w:lineRule="auto" w:line="360"/>
        <w:jc w:val="both"/>
        <w:rPr/>
      </w:pPr>
      <w:r>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p>
    <w:p>
      <w:pPr>
        <w:pStyle w:val="Normal"/>
        <w:spacing w:lineRule="auto" w:line="276"/>
        <w:jc w:val="both"/>
        <w:rPr>
          <w:b/>
          <w:bCs/>
        </w:rPr>
      </w:pPr>
      <w:r>
        <w:rPr>
          <w:b/>
          <w:bCs/>
        </w:rPr>
      </w:r>
      <w:r>
        <w:br w:type="page"/>
      </w:r>
    </w:p>
    <w:p>
      <w:pPr>
        <w:pStyle w:val="Normal"/>
        <w:spacing w:lineRule="auto" w:line="276" w:before="0" w:after="0"/>
        <w:jc w:val="both"/>
        <w:rPr>
          <w:b/>
          <w:bCs/>
        </w:rPr>
      </w:pPr>
      <w:r>
        <w:rPr>
          <w:b/>
          <w:bCs/>
        </w:rPr>
        <w:t>OBRAZLOŽENJE OPĆEG DIJELA</w:t>
      </w:r>
    </w:p>
    <w:p>
      <w:pPr>
        <w:pStyle w:val="Normal"/>
        <w:spacing w:lineRule="auto" w:line="276"/>
        <w:jc w:val="both"/>
        <w:rPr>
          <w:sz w:val="22"/>
          <w:szCs w:val="22"/>
        </w:rPr>
      </w:pPr>
      <w:r>
        <w:rPr>
          <w:sz w:val="22"/>
          <w:szCs w:val="22"/>
        </w:rPr>
      </w:r>
    </w:p>
    <w:p>
      <w:pPr>
        <w:pStyle w:val="Normal"/>
        <w:spacing w:lineRule="auto" w:line="360"/>
        <w:jc w:val="both"/>
        <w:rPr>
          <w:sz w:val="22"/>
          <w:szCs w:val="22"/>
          <w:highlight w:val="none"/>
          <w:shd w:fill="auto" w:val="clear"/>
        </w:rPr>
      </w:pPr>
      <w:r>
        <w:rPr>
          <w:sz w:val="22"/>
          <w:szCs w:val="22"/>
          <w:shd w:fill="auto" w:val="clear"/>
        </w:rPr>
        <w:t>Tijekom 2025. godine financiranje prihoda i rashoda izvršeno je po osnovi slijedećih financijsko -planskih dokumenata:</w:t>
      </w:r>
    </w:p>
    <w:p>
      <w:pPr>
        <w:pStyle w:val="Normal"/>
        <w:spacing w:lineRule="auto" w:line="360"/>
        <w:jc w:val="both"/>
        <w:rPr>
          <w:sz w:val="22"/>
          <w:szCs w:val="22"/>
          <w:highlight w:val="none"/>
          <w:shd w:fill="auto" w:val="clear"/>
        </w:rPr>
      </w:pPr>
      <w:r>
        <w:rPr>
          <w:sz w:val="22"/>
          <w:szCs w:val="22"/>
          <w:shd w:fill="auto" w:val="clear"/>
        </w:rPr>
        <w:t>- Financijskog plana za 2025. godinu s projekcijom za 2026. i 2027. godinu</w:t>
      </w:r>
    </w:p>
    <w:p>
      <w:pPr>
        <w:pStyle w:val="Normal"/>
        <w:spacing w:lineRule="auto" w:line="360"/>
        <w:jc w:val="both"/>
        <w:rPr>
          <w:sz w:val="22"/>
          <w:szCs w:val="22"/>
          <w:highlight w:val="none"/>
          <w:shd w:fill="auto" w:val="clear"/>
        </w:rPr>
      </w:pPr>
      <w:r>
        <w:rPr>
          <w:sz w:val="22"/>
          <w:szCs w:val="22"/>
          <w:shd w:fill="auto" w:val="clear"/>
        </w:rPr>
        <w:t>- 1. Rebalansa financijskog plana za 2025. godinu (I. Izmjene i dopune Financijskog plana za 2025. godinu)</w:t>
      </w:r>
    </w:p>
    <w:p>
      <w:pPr>
        <w:pStyle w:val="Normal"/>
        <w:spacing w:lineRule="auto" w:line="276"/>
        <w:jc w:val="both"/>
        <w:rPr>
          <w:sz w:val="22"/>
          <w:szCs w:val="22"/>
        </w:rPr>
      </w:pPr>
      <w:r>
        <w:rPr>
          <w:b/>
          <w:bCs/>
          <w:i/>
          <w:iCs/>
          <w:sz w:val="22"/>
          <w:szCs w:val="22"/>
        </w:rPr>
        <w:t>Račun prihoda i rashoda i Račun financiranja</w:t>
      </w:r>
    </w:p>
    <w:p>
      <w:pPr>
        <w:pStyle w:val="Normal"/>
        <w:spacing w:lineRule="auto" w:line="276"/>
        <w:jc w:val="both"/>
        <w:rPr>
          <w:sz w:val="22"/>
          <w:szCs w:val="22"/>
        </w:rPr>
      </w:pPr>
      <w:r>
        <w:rPr>
          <w:sz w:val="22"/>
          <w:szCs w:val="22"/>
        </w:rPr>
      </w:r>
    </w:p>
    <w:p>
      <w:pPr>
        <w:pStyle w:val="Normal"/>
        <w:spacing w:lineRule="auto" w:line="360"/>
        <w:jc w:val="both"/>
        <w:rPr>
          <w:sz w:val="22"/>
          <w:szCs w:val="22"/>
        </w:rPr>
      </w:pPr>
      <w:r>
        <w:rPr>
          <w:sz w:val="22"/>
          <w:szCs w:val="22"/>
        </w:rPr>
        <w:t>U Sažetku Računa prihoda i rashoda Bolnice za 2025. godinu, iskazani su podaci o planiranim prihodima/primicima i rashodima/izdacima kroz 1. Rebalans financijskog plana za 2025. godinu, kao i podaci o njihovu izvršenju u razdoblju I.-XII. 2025. godine te usporedni podatci o izvršenju u razdoblju I.-XII. 2024. godine. Navedeni podaci brojčano su iskazani u tablici SAŽETAK RAČUNA PRIHODA I RASHODA I RAČUNA FINANCIRANJA koja je sastavni dio Izvješća.</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object w:dxaOrig="11521" w:dyaOrig="716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1pt;margin-top:-6.55pt;width:484.05pt;height:327.2pt;mso-wrap-distance-right:0pt;mso-position-horizontal-relative:text;mso-position-vertical-relative:text" filled="f" o:ole="">
            <v:imagedata r:id="rId4" o:title=""/>
            <w10:wrap type="square"/>
          </v:shape>
          <o:OLEObject Type="Embed" ProgID="Excel.Sheet.12" ShapeID="ole_rId3" DrawAspect="Content" ObjectID="_704041515" r:id="rId3"/>
        </w:objec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Kao što je vidljivo u gore navedenoj tablici u</w:t>
      </w:r>
      <w:bookmarkStart w:id="0" w:name="_Hlk128916753"/>
      <w:r>
        <w:rPr>
          <w:sz w:val="22"/>
          <w:szCs w:val="22"/>
        </w:rPr>
        <w:t xml:space="preserve">kupni prihodi i primici planirani su za 2025. godinu u iznosu od 15.473.517,00 eura, dok su </w:t>
      </w:r>
      <w:bookmarkStart w:id="1" w:name="_Hlk142201302"/>
      <w:r>
        <w:rPr>
          <w:sz w:val="22"/>
          <w:szCs w:val="22"/>
        </w:rPr>
        <w:t>u razdoblju od I.-XII. 2025. godine</w:t>
      </w:r>
      <w:bookmarkEnd w:id="1"/>
      <w:r>
        <w:rPr>
          <w:sz w:val="22"/>
          <w:szCs w:val="22"/>
        </w:rPr>
        <w:t xml:space="preserve"> ostvareni u iznosu od 14.886.991,33 eura ili 96,21 % tekućeg godišnjeg plana. </w:t>
      </w:r>
      <w:bookmarkEnd w:id="0"/>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 xml:space="preserve">Ukupni rashodi i izdaci planirani su za 2025. godinu u iznosu od 15.473.517,00 eura, dok su u razdoblju I.-XII. 2025. godine ostvareni u iznosu od 15.213.729,26 eura ili 98,32 % tekućeg godišnjeg plana. </w:t>
      </w:r>
    </w:p>
    <w:p>
      <w:pPr>
        <w:pStyle w:val="Normal"/>
        <w:spacing w:lineRule="auto" w:line="360"/>
        <w:jc w:val="both"/>
        <w:rPr>
          <w:b/>
          <w:bCs/>
        </w:rPr>
      </w:pPr>
      <w:r>
        <w:rPr>
          <w:b/>
          <w:bCs/>
        </w:rPr>
      </w:r>
    </w:p>
    <w:p>
      <w:pPr>
        <w:pStyle w:val="Normal"/>
        <w:spacing w:lineRule="auto" w:line="360"/>
        <w:jc w:val="both"/>
        <w:rPr>
          <w:b/>
          <w:bCs/>
        </w:rPr>
      </w:pPr>
      <w:r>
        <w:rPr>
          <w:b/>
          <w:bCs/>
          <w:sz w:val="22"/>
          <w:szCs w:val="22"/>
        </w:rPr>
        <w:t>Prihodi i rashodi prema izvoru financiranja</w:t>
      </w:r>
    </w:p>
    <w:p>
      <w:pPr>
        <w:pStyle w:val="Normal"/>
        <w:rPr/>
      </w:pPr>
      <w:r>
        <w:rPr/>
        <w:object w:dxaOrig="10240" w:dyaOrig="8193">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16.1pt;margin-top:0pt;width:500.25pt;height:432.35pt;mso-wrap-distance-right:0pt;mso-position-horizontal-relative:text;mso-position-vertical-relative:text" filled="f" o:ole="">
            <v:imagedata r:id="rId6" o:title=""/>
            <w10:wrap type="topAndBottom"/>
          </v:shape>
          <o:OLEObject Type="Embed" ProgID="Excel.Sheet.12" ShapeID="ole_rId5" DrawAspect="Content" ObjectID="_1682550351" r:id="rId5"/>
        </w:object>
      </w:r>
    </w:p>
    <w:p>
      <w:pPr>
        <w:pStyle w:val="Normal"/>
        <w:spacing w:lineRule="auto" w:line="360"/>
        <w:jc w:val="both"/>
        <w:rPr>
          <w:b/>
          <w:bCs/>
        </w:rPr>
      </w:pPr>
      <w:r>
        <w:rPr>
          <w:b/>
          <w:bCs/>
        </w:rPr>
      </w:r>
    </w:p>
    <w:p>
      <w:pPr>
        <w:pStyle w:val="Heading1"/>
        <w:numPr>
          <w:ilvl w:val="0"/>
          <w:numId w:val="0"/>
        </w:numPr>
        <w:ind w:hanging="0" w:left="0" w:right="0"/>
        <w:rPr>
          <w:sz w:val="24"/>
          <w:szCs w:val="24"/>
        </w:rPr>
      </w:pPr>
      <w:r>
        <w:rPr>
          <w:rFonts w:cs="Times New Roman" w:ascii="Times New Roman" w:hAnsi="Times New Roman"/>
          <w:color w:val="auto"/>
          <w:sz w:val="24"/>
          <w:szCs w:val="24"/>
        </w:rPr>
        <w:t>IZVRŠENJE OPĆIH I POSEBNIH CILJEVA IZ FINANCIJSKOG PLANA ZA 2025. GODINU</w:t>
      </w:r>
    </w:p>
    <w:p>
      <w:pPr>
        <w:pStyle w:val="Normal"/>
        <w:rPr/>
      </w:pPr>
      <w:r>
        <w:rPr/>
      </w:r>
    </w:p>
    <w:p>
      <w:pPr>
        <w:pStyle w:val="Normal"/>
        <w:spacing w:lineRule="auto" w:line="276"/>
        <w:jc w:val="both"/>
        <w:rPr/>
      </w:pPr>
      <w:r>
        <w:rPr>
          <w:rFonts w:cs="Times New Roman"/>
          <w:sz w:val="22"/>
          <w:szCs w:val="22"/>
        </w:rPr>
        <w:t>Opća i veteranska bolnica "Hrvatski ponos" Knin u svom financijskom planu ima otvorena dva programa; 3602- Investicije u zdravstvenu infrastrukturu i 3605-Sigurnost građana i prava na zdravstvenu usluge. Navedeno je sukladno Nacionalnoj razvojnoj strategiji Republike Hrvatske do 2030. godine, Strateški cilj 5. „Zdrav, aktivan i kvalitetan život”, te Nacionalnom planu razvoja zdravstva za razdoblje od 2021. do 2027. godinu. Posebni cilj 2. Unaprjeđenje sustava zdravstvene zaštite.</w:t>
      </w:r>
    </w:p>
    <w:p>
      <w:pPr>
        <w:pStyle w:val="Normal"/>
        <w:spacing w:lineRule="auto" w:line="276"/>
        <w:jc w:val="both"/>
        <w:rPr>
          <w:rFonts w:cs="Times New Roman"/>
          <w:sz w:val="22"/>
          <w:szCs w:val="22"/>
        </w:rPr>
      </w:pPr>
      <w:r>
        <w:rPr>
          <w:rFonts w:cs="Times New Roman"/>
          <w:sz w:val="22"/>
          <w:szCs w:val="22"/>
        </w:rPr>
      </w:r>
    </w:p>
    <w:p>
      <w:pPr>
        <w:pStyle w:val="ListParagraph"/>
        <w:numPr>
          <w:ilvl w:val="0"/>
          <w:numId w:val="0"/>
        </w:numPr>
        <w:spacing w:lineRule="auto" w:line="276"/>
        <w:ind w:hanging="0" w:left="0"/>
        <w:jc w:val="both"/>
        <w:rPr/>
      </w:pPr>
      <w:bookmarkStart w:id="2" w:name="_Hlk147423124"/>
      <w:r>
        <w:rPr>
          <w:rFonts w:cs="Times New Roman"/>
          <w:b/>
          <w:bCs/>
          <w:sz w:val="22"/>
          <w:szCs w:val="22"/>
        </w:rPr>
        <w:t>3602 – Investicije u zdravstvenu infrastrukturu</w:t>
      </w:r>
      <w:r>
        <w:rPr>
          <w:rFonts w:cs="Times New Roman"/>
          <w:sz w:val="22"/>
          <w:szCs w:val="22"/>
        </w:rPr>
        <w:t xml:space="preserve"> </w:t>
      </w:r>
      <w:bookmarkEnd w:id="2"/>
      <w:r>
        <w:rPr>
          <w:rFonts w:cs="Times New Roman"/>
          <w:sz w:val="22"/>
          <w:szCs w:val="22"/>
        </w:rPr>
        <w:t xml:space="preserve">koji ima cilj modernizaciju bolnice uz unaprjeđenje zdravstvene infrastrukture i zanavljanje stare i dotrajale opreme kao i pribavljanje nove sofisticirane opreme sa svrhom pružanja kvalitetne zdravstvene zaštite. Bolnica provodi aktivnosti na unapređenju sustava bolničke zdravstvene zaštite tako da se unapređuju uvjeti rada uključujući radni prostor, edukaciju radnika i pribavljanje medicinsko - tehničke opreme čime se stvaraju osnovni preduvjeti za pružanje pravovremene i kvalitetne zdravstvene zaštite i to na načelima kontinuiranosti, sveobuhvatnosti, dostupnosti, cjelovitog i specijaliziranog pristupa.  </w:t>
      </w:r>
    </w:p>
    <w:p>
      <w:pPr>
        <w:pStyle w:val="ListParagraph"/>
        <w:numPr>
          <w:ilvl w:val="0"/>
          <w:numId w:val="2"/>
        </w:numPr>
        <w:spacing w:lineRule="auto" w:line="276"/>
        <w:jc w:val="both"/>
        <w:rPr>
          <w:rFonts w:cs="Times New Roman"/>
          <w:sz w:val="22"/>
          <w:szCs w:val="22"/>
        </w:rPr>
      </w:pPr>
      <w:r>
        <w:rPr>
          <w:rFonts w:cs="Times New Roman"/>
          <w:sz w:val="22"/>
          <w:szCs w:val="22"/>
        </w:rPr>
      </w:r>
    </w:p>
    <w:p>
      <w:pPr>
        <w:pStyle w:val="ListParagraph"/>
        <w:numPr>
          <w:ilvl w:val="0"/>
          <w:numId w:val="2"/>
        </w:numPr>
        <w:spacing w:lineRule="auto" w:line="276"/>
        <w:jc w:val="both"/>
        <w:rPr/>
      </w:pPr>
      <w:r>
        <w:rPr>
          <w:rFonts w:cs="Times New Roman"/>
          <w:b/>
          <w:bCs/>
          <w:color w:val="000000"/>
          <w:sz w:val="22"/>
          <w:szCs w:val="22"/>
        </w:rPr>
        <w:t xml:space="preserve">Opis aktivnosti/projekta: </w:t>
      </w:r>
      <w:r>
        <w:rPr>
          <w:rFonts w:cs="Times New Roman"/>
          <w:b w:val="false"/>
          <w:bCs w:val="false"/>
          <w:color w:val="000000"/>
          <w:sz w:val="22"/>
          <w:szCs w:val="22"/>
        </w:rPr>
        <w:t>modernizacija zdravstvene infrastrukture obnovom i ulaganjem u postojeće kapacitete prioritet je kod politike upravljanja na području zdravstva i zdravstvene skrbi. Svrha je unaprjeđenje sustava zdravstvene zaštite putem modernizacije bolnica uz osiguranje dostupnosti sofisticirane opreme. Sredstva su namijenjena za zanavljanje stare opreme sukladno potrebama, te u svrhu podizanja funkcionalnosti i kvalitete pružanja zdravstvenih usluga.</w:t>
      </w:r>
    </w:p>
    <w:p>
      <w:pPr>
        <w:pStyle w:val="ListParagraph"/>
        <w:numPr>
          <w:ilvl w:val="0"/>
          <w:numId w:val="2"/>
        </w:numPr>
        <w:spacing w:lineRule="auto" w:line="276"/>
        <w:jc w:val="both"/>
        <w:rPr>
          <w:rFonts w:ascii="Times New Roman" w:hAnsi="Times New Roman" w:cs="Times New Roman"/>
          <w:b w:val="false"/>
          <w:bCs w:val="false"/>
          <w:color w:val="000000"/>
          <w:sz w:val="22"/>
          <w:szCs w:val="22"/>
        </w:rPr>
      </w:pPr>
      <w:r>
        <w:rPr>
          <w:rFonts w:cs="Times New Roman"/>
          <w:b w:val="false"/>
          <w:bCs w:val="false"/>
          <w:color w:val="000000"/>
          <w:sz w:val="22"/>
          <w:szCs w:val="22"/>
        </w:rPr>
      </w:r>
    </w:p>
    <w:p>
      <w:pPr>
        <w:pStyle w:val="ListParagraph"/>
        <w:numPr>
          <w:ilvl w:val="0"/>
          <w:numId w:val="0"/>
        </w:numPr>
        <w:spacing w:lineRule="auto" w:line="276"/>
        <w:ind w:hanging="0" w:left="0"/>
        <w:jc w:val="both"/>
        <w:rPr/>
      </w:pPr>
      <w:r>
        <w:rPr>
          <w:rFonts w:cs="Times New Roman"/>
          <w:b/>
          <w:bCs/>
          <w:sz w:val="22"/>
          <w:szCs w:val="22"/>
        </w:rPr>
        <w:t xml:space="preserve">3605 – Sigurnost građana i prava na zdravstvene usluge </w:t>
      </w:r>
      <w:r>
        <w:rPr>
          <w:rFonts w:cs="Times New Roman"/>
          <w:b w:val="false"/>
          <w:bCs w:val="false"/>
          <w:sz w:val="22"/>
          <w:szCs w:val="22"/>
        </w:rPr>
        <w:t xml:space="preserve">koji ima cilj osigurati nesmetano funkcioniranje zdravstvene ustanove kroz kvalitetnu organizaciju rada i kontinuiranu edukaciju zdravstvenih i nezdravstvenih djelatnika postići izvrsnost u segmentu pružanja usluge sekundarne zdravstvene zaštite, odnosno svim našim pacijentima omogućiti brzu dijagnostiku i uspješnu terapiju. </w:t>
      </w:r>
    </w:p>
    <w:p>
      <w:pPr>
        <w:pStyle w:val="ListParagraph"/>
        <w:numPr>
          <w:ilvl w:val="0"/>
          <w:numId w:val="2"/>
        </w:numPr>
        <w:spacing w:lineRule="auto" w:line="276"/>
        <w:jc w:val="both"/>
        <w:rPr>
          <w:rFonts w:cs="Times New Roman"/>
          <w:b w:val="false"/>
          <w:bCs w:val="false"/>
          <w:sz w:val="22"/>
          <w:szCs w:val="22"/>
        </w:rPr>
      </w:pPr>
      <w:r>
        <w:rPr>
          <w:rFonts w:cs="Times New Roman"/>
          <w:b w:val="false"/>
          <w:bCs w:val="false"/>
          <w:sz w:val="22"/>
          <w:szCs w:val="22"/>
        </w:rPr>
      </w:r>
    </w:p>
    <w:p>
      <w:pPr>
        <w:pStyle w:val="Normal"/>
        <w:numPr>
          <w:ilvl w:val="0"/>
          <w:numId w:val="2"/>
        </w:numPr>
        <w:spacing w:lineRule="auto" w:line="276" w:before="0" w:after="120"/>
        <w:jc w:val="both"/>
        <w:rPr>
          <w:sz w:val="22"/>
          <w:szCs w:val="22"/>
        </w:rPr>
      </w:pPr>
      <w:r>
        <w:rPr>
          <w:rFonts w:cs="Times New Roman"/>
          <w:b/>
          <w:bCs/>
          <w:color w:val="000000"/>
          <w:sz w:val="22"/>
          <w:szCs w:val="22"/>
        </w:rPr>
        <w:t xml:space="preserve">Opis aktivnosti/projekta: </w:t>
      </w:r>
      <w:r>
        <w:rPr>
          <w:rFonts w:cs="Times New Roman"/>
          <w:sz w:val="22"/>
          <w:szCs w:val="22"/>
        </w:rPr>
        <w:t xml:space="preserve">Na aktivnosti </w:t>
      </w:r>
      <w:r>
        <w:rPr>
          <w:rFonts w:cs="Times New Roman"/>
          <w:kern w:val="0"/>
          <w:sz w:val="22"/>
          <w:szCs w:val="22"/>
          <w:lang w:bidi="ar-SA"/>
        </w:rPr>
        <w:t>A945001 Administracija i upravljanje (iz evidencijskih prihoda)</w:t>
      </w:r>
      <w:r>
        <w:rPr>
          <w:rFonts w:cs="Times New Roman"/>
          <w:sz w:val="22"/>
          <w:szCs w:val="22"/>
        </w:rPr>
        <w:t xml:space="preserve"> planirana su sredstva za nesmetano provođenje svih aktivnosti vezanih uz pružanje zdravstvene zaštite pacijentima. U okviru ukupnih rashoda i izdataka najveći dio se odnosi na rashode za zaposlene Bolnice. Rashodi za bruto plaću i doprinose uz ostale rashode za zaposlene koji uključuju jubilarne nagrade, otpremnine, dar za djecu, naknade za rođenje djeteta, pomoći za bolovanje duže od 90 dana te ostale pomoći. U okviru materijalnih rashoda najveći udio sredstava</w:t>
      </w:r>
      <w:r>
        <w:rPr>
          <w:rFonts w:cs="Times New Roman"/>
          <w:color w:val="C9211E"/>
          <w:sz w:val="22"/>
          <w:szCs w:val="22"/>
        </w:rPr>
        <w:t xml:space="preserve"> </w:t>
      </w:r>
      <w:r>
        <w:rPr>
          <w:rFonts w:cs="Times New Roman"/>
          <w:sz w:val="22"/>
          <w:szCs w:val="22"/>
        </w:rPr>
        <w:t xml:space="preserve">je planiran za lijekove i potrošni medicinski materijal. Nadalje na ovoj aktivnosti planirana su sredstva za živežne namirnice, medicinske plinove, materijal za održavanje čistoće, uredski materijal, ostale razne materijale, utrošenu energiju, ugrađene rezervne dijelove, poštanske izdatke, ostali izdaci, rashodi za usluge i svi ostali nespomenuti rashodi. </w:t>
      </w:r>
    </w:p>
    <w:p>
      <w:pPr>
        <w:pStyle w:val="Normal"/>
        <w:numPr>
          <w:ilvl w:val="0"/>
          <w:numId w:val="2"/>
        </w:numPr>
        <w:spacing w:lineRule="auto" w:line="276" w:before="0" w:after="120"/>
        <w:jc w:val="both"/>
        <w:rPr>
          <w:sz w:val="22"/>
          <w:szCs w:val="22"/>
        </w:rPr>
      </w:pPr>
      <w:r>
        <w:rPr>
          <w:rFonts w:cs="Times New Roman"/>
          <w:b w:val="false"/>
          <w:bCs w:val="false"/>
          <w:sz w:val="22"/>
          <w:szCs w:val="22"/>
        </w:rPr>
        <w:t xml:space="preserve">Na aktivnosti </w:t>
      </w:r>
      <w:r>
        <w:rPr>
          <w:rFonts w:cs="Times New Roman"/>
          <w:b w:val="false"/>
          <w:bCs w:val="false"/>
          <w:kern w:val="0"/>
          <w:sz w:val="22"/>
          <w:szCs w:val="22"/>
          <w:lang w:bidi="ar-SA"/>
        </w:rPr>
        <w:t xml:space="preserve">A945003 Administracija i upravljanje planirana su sredstva iz </w:t>
      </w:r>
      <w:r>
        <w:rPr>
          <w:rFonts w:cs="Times New Roman"/>
          <w:b w:val="false"/>
          <w:bCs w:val="false"/>
          <w:sz w:val="22"/>
          <w:szCs w:val="22"/>
        </w:rPr>
        <w:t>IF 11 Opći prihodi i primici. Uključuju 146.861,00 EUR namjenske pomoći za zdravstvene ustanove za pokriće troškova premija osiguranja imovine i zaposlenika od odgovornosti.</w:t>
      </w:r>
    </w:p>
    <w:p>
      <w:pPr>
        <w:pStyle w:val="Normal"/>
        <w:spacing w:lineRule="auto" w:line="360"/>
        <w:rPr>
          <w:rFonts w:cs="Times New Roman"/>
          <w:b w:val="false"/>
          <w:bCs w:val="false"/>
          <w:sz w:val="22"/>
          <w:szCs w:val="22"/>
        </w:rPr>
      </w:pPr>
      <w:r>
        <w:rPr>
          <w:rFonts w:cs="Times New Roman"/>
          <w:b w:val="false"/>
          <w:bCs w:val="false"/>
          <w:sz w:val="22"/>
          <w:szCs w:val="22"/>
        </w:rPr>
      </w:r>
    </w:p>
    <w:p>
      <w:pPr>
        <w:pStyle w:val="Normal"/>
        <w:spacing w:lineRule="auto" w:line="360"/>
        <w:rPr>
          <w:rFonts w:cs="Times New Roman"/>
          <w:b w:val="false"/>
          <w:bCs w:val="false"/>
          <w:sz w:val="22"/>
          <w:szCs w:val="22"/>
        </w:rPr>
      </w:pPr>
      <w:r>
        <w:rPr>
          <w:rFonts w:cs="Times New Roman"/>
          <w:b w:val="false"/>
          <w:bCs w:val="false"/>
          <w:sz w:val="22"/>
          <w:szCs w:val="22"/>
        </w:rPr>
      </w:r>
    </w:p>
    <w:p>
      <w:pPr>
        <w:pStyle w:val="Normal"/>
        <w:spacing w:lineRule="auto" w:line="360"/>
        <w:rPr>
          <w:rFonts w:cs="Times New Roman"/>
          <w:b w:val="false"/>
          <w:bCs w:val="false"/>
          <w:sz w:val="22"/>
          <w:szCs w:val="22"/>
        </w:rPr>
      </w:pPr>
      <w:r>
        <w:rPr>
          <w:rFonts w:cs="Times New Roman"/>
          <w:b w:val="false"/>
          <w:bCs w:val="false"/>
          <w:sz w:val="22"/>
          <w:szCs w:val="22"/>
        </w:rPr>
      </w:r>
    </w:p>
    <w:p>
      <w:pPr>
        <w:pStyle w:val="Heading3"/>
        <w:shd w:val="clear" w:fill="E6E6E6"/>
        <w:ind w:hanging="0" w:left="0" w:right="0"/>
        <w:jc w:val="left"/>
        <w:rPr>
          <w:sz w:val="22"/>
          <w:szCs w:val="22"/>
        </w:rPr>
      </w:pPr>
      <w:r>
        <w:rPr>
          <w:rFonts w:cs="Times New Roman"/>
          <w:sz w:val="22"/>
          <w:szCs w:val="22"/>
          <w:shd w:fill="DDDDDD" w:val="clear"/>
        </w:rPr>
        <w:t>3602 INVESTICIJE U ZDRAVSTVENU INFRASTRUKTURU</w:t>
      </w:r>
    </w:p>
    <w:p>
      <w:pPr>
        <w:pStyle w:val="Heading8"/>
        <w:jc w:val="left"/>
        <w:rPr>
          <w:rFonts w:cs="Times New Roman"/>
          <w:b/>
          <w:bCs/>
          <w:sz w:val="22"/>
          <w:szCs w:val="22"/>
        </w:rPr>
      </w:pPr>
      <w:r>
        <w:rPr>
          <w:rFonts w:cs="Times New Roman"/>
          <w:b/>
          <w:bCs/>
          <w:sz w:val="22"/>
          <w:szCs w:val="22"/>
        </w:rPr>
      </w:r>
    </w:p>
    <w:p>
      <w:pPr>
        <w:pStyle w:val="Normal"/>
        <w:jc w:val="left"/>
        <w:rPr>
          <w:rFonts w:cs="Times New Roman"/>
          <w:b/>
          <w:bCs/>
          <w:sz w:val="22"/>
          <w:szCs w:val="22"/>
        </w:rPr>
      </w:pPr>
      <w:r>
        <w:rPr>
          <w:rFonts w:cs="Times New Roman"/>
          <w:b/>
          <w:bCs/>
          <w:sz w:val="22"/>
          <w:szCs w:val="22"/>
        </w:rPr>
      </w:r>
    </w:p>
    <w:tbl>
      <w:tblPr>
        <w:tblW w:w="9349" w:type="dxa"/>
        <w:jc w:val="center"/>
        <w:tblInd w:w="0" w:type="dxa"/>
        <w:tblLayout w:type="fixed"/>
        <w:tblCellMar>
          <w:top w:w="57" w:type="dxa"/>
          <w:left w:w="57" w:type="dxa"/>
          <w:bottom w:w="57" w:type="dxa"/>
          <w:right w:w="57" w:type="dxa"/>
        </w:tblCellMar>
        <w:tblLook w:val="04a0"/>
      </w:tblPr>
      <w:tblGrid>
        <w:gridCol w:w="2498"/>
        <w:gridCol w:w="2095"/>
        <w:gridCol w:w="1636"/>
        <w:gridCol w:w="1778"/>
        <w:gridCol w:w="1342"/>
      </w:tblGrid>
      <w:tr>
        <w:trPr>
          <w:cantSplit w:val="true"/>
        </w:trPr>
        <w:tc>
          <w:tcPr>
            <w:tcW w:w="2498" w:type="dxa"/>
            <w:tcBorders>
              <w:top w:val="single" w:sz="4" w:space="0" w:color="000000"/>
              <w:left w:val="single" w:sz="4" w:space="0" w:color="000000"/>
              <w:bottom w:val="single" w:sz="4" w:space="0" w:color="000000"/>
            </w:tcBorders>
            <w:shd w:color="auto" w:fill="B5C0D8" w:val="clear"/>
            <w:vAlign w:val="center"/>
          </w:tcPr>
          <w:p>
            <w:pPr>
              <w:pStyle w:val="CellHeader"/>
              <w:widowControl w:val="false"/>
              <w:spacing w:before="0" w:after="120"/>
              <w:jc w:val="center"/>
              <w:rPr>
                <w:b/>
                <w:bCs/>
                <w:sz w:val="16"/>
                <w:szCs w:val="16"/>
              </w:rPr>
            </w:pPr>
            <w:r>
              <w:rPr>
                <w:rFonts w:cs="Times New Roman"/>
                <w:b/>
                <w:bCs/>
                <w:sz w:val="16"/>
                <w:szCs w:val="16"/>
              </w:rPr>
              <w:t>NAZIV AKTIVNOSTI</w:t>
            </w:r>
          </w:p>
        </w:tc>
        <w:tc>
          <w:tcPr>
            <w:tcW w:w="2095"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IZVORNI PLAN ILI REBALANS </w:t>
              <w:br/>
              <w:t>2025.</w:t>
            </w:r>
          </w:p>
        </w:tc>
        <w:tc>
          <w:tcPr>
            <w:tcW w:w="1636"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TEKUĆI PLAN </w:t>
              <w:br/>
              <w:t>2025.</w:t>
            </w:r>
          </w:p>
        </w:tc>
        <w:tc>
          <w:tcPr>
            <w:tcW w:w="1778"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OSTVARENJE/IZVRŠENJE </w:t>
              <w:br/>
              <w:t>01.2025. - 12.2025.</w:t>
            </w:r>
          </w:p>
        </w:tc>
        <w:tc>
          <w:tcPr>
            <w:tcW w:w="1342" w:type="dxa"/>
            <w:tcBorders>
              <w:top w:val="single" w:sz="4" w:space="0" w:color="000000"/>
              <w:left w:val="single" w:sz="4" w:space="0" w:color="000000"/>
              <w:bottom w:val="single" w:sz="4" w:space="0" w:color="000000"/>
              <w:right w:val="single" w:sz="4" w:space="0" w:color="000000"/>
            </w:tcBorders>
            <w:shd w:color="auto" w:fill="B5C0D8" w:val="clear"/>
            <w:vAlign w:val="center"/>
          </w:tcPr>
          <w:p>
            <w:pPr>
              <w:pStyle w:val="CellHeader"/>
              <w:widowControl w:val="false"/>
              <w:spacing w:before="0" w:after="120"/>
              <w:jc w:val="center"/>
              <w:rPr>
                <w:b/>
                <w:bCs/>
                <w:sz w:val="16"/>
                <w:szCs w:val="16"/>
              </w:rPr>
            </w:pPr>
            <w:r>
              <w:rPr>
                <w:rFonts w:cs="Times New Roman"/>
                <w:b/>
                <w:bCs/>
                <w:sz w:val="16"/>
                <w:szCs w:val="16"/>
              </w:rPr>
              <w:t>Indeks</w:t>
            </w:r>
          </w:p>
        </w:tc>
      </w:tr>
      <w:tr>
        <w:trPr>
          <w:cantSplit w:val="true"/>
        </w:trPr>
        <w:tc>
          <w:tcPr>
            <w:tcW w:w="2498" w:type="dxa"/>
            <w:tcBorders>
              <w:left w:val="single" w:sz="4" w:space="0" w:color="000000"/>
              <w:bottom w:val="single" w:sz="4" w:space="0" w:color="000000"/>
            </w:tcBorders>
            <w:vAlign w:val="center"/>
          </w:tcPr>
          <w:p>
            <w:pPr>
              <w:pStyle w:val="CellColumn"/>
              <w:widowControl w:val="false"/>
              <w:spacing w:before="0" w:after="120"/>
              <w:jc w:val="center"/>
              <w:rPr>
                <w:szCs w:val="20"/>
              </w:rPr>
            </w:pPr>
            <w:r>
              <w:rPr>
                <w:szCs w:val="20"/>
              </w:rPr>
              <w:t>K945002</w:t>
            </w:r>
          </w:p>
        </w:tc>
        <w:tc>
          <w:tcPr>
            <w:tcW w:w="2095"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494.750</w:t>
            </w:r>
          </w:p>
        </w:tc>
        <w:tc>
          <w:tcPr>
            <w:tcW w:w="1636"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494.750</w:t>
            </w:r>
          </w:p>
        </w:tc>
        <w:tc>
          <w:tcPr>
            <w:tcW w:w="1778"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494.732,53</w:t>
            </w:r>
          </w:p>
        </w:tc>
        <w:tc>
          <w:tcPr>
            <w:tcW w:w="1342" w:type="dxa"/>
            <w:tcBorders>
              <w:left w:val="single" w:sz="4" w:space="0" w:color="000000"/>
              <w:bottom w:val="single" w:sz="4" w:space="0" w:color="000000"/>
              <w:right w:val="single" w:sz="4" w:space="0" w:color="000000"/>
            </w:tcBorders>
            <w:vAlign w:val="center"/>
          </w:tcPr>
          <w:p>
            <w:pPr>
              <w:pStyle w:val="Normal"/>
              <w:widowControl w:val="false"/>
              <w:spacing w:before="0" w:after="120"/>
              <w:jc w:val="center"/>
              <w:rPr>
                <w:sz w:val="20"/>
                <w:szCs w:val="20"/>
              </w:rPr>
            </w:pPr>
            <w:r>
              <w:rPr>
                <w:sz w:val="20"/>
                <w:szCs w:val="20"/>
              </w:rPr>
              <w:t>100,00</w:t>
            </w:r>
          </w:p>
        </w:tc>
      </w:tr>
    </w:tbl>
    <w:p>
      <w:pPr>
        <w:pStyle w:val="Normal"/>
        <w:jc w:val="left"/>
        <w:rPr>
          <w:rFonts w:cs="Times New Roman"/>
          <w:b/>
          <w:bCs/>
          <w:sz w:val="22"/>
          <w:szCs w:val="22"/>
        </w:rPr>
      </w:pPr>
      <w:r>
        <w:rPr>
          <w:rFonts w:cs="Times New Roman"/>
          <w:b/>
          <w:bCs/>
          <w:sz w:val="22"/>
          <w:szCs w:val="22"/>
        </w:rPr>
      </w:r>
    </w:p>
    <w:p>
      <w:pPr>
        <w:pStyle w:val="Normal"/>
        <w:jc w:val="left"/>
        <w:rPr>
          <w:rFonts w:cs="Times New Roman"/>
          <w:b/>
          <w:bCs/>
          <w:sz w:val="22"/>
          <w:szCs w:val="22"/>
        </w:rPr>
      </w:pPr>
      <w:r>
        <w:rPr>
          <w:rFonts w:cs="Times New Roman"/>
          <w:b/>
          <w:bCs/>
          <w:sz w:val="22"/>
          <w:szCs w:val="22"/>
        </w:rPr>
      </w:r>
    </w:p>
    <w:p>
      <w:pPr>
        <w:pStyle w:val="Heading8"/>
        <w:spacing w:lineRule="auto" w:line="360"/>
        <w:jc w:val="left"/>
        <w:rPr/>
      </w:pPr>
      <w:r>
        <w:rPr>
          <w:rFonts w:cs="Times New Roman"/>
          <w:b w:val="false"/>
          <w:bCs w:val="false"/>
          <w:sz w:val="22"/>
          <w:szCs w:val="22"/>
          <w:shd w:fill="auto" w:val="clear"/>
        </w:rPr>
        <w:t xml:space="preserve">IF11 Opći prihodi i primici su ostvareni u iznosu od 494.732,53 eura  ili 100,00 % tekućeg godišnjeg plana, ostvarena su za izravna kapitalna ulaganja. Sredstva su strogo namjenska za nabavu nefinancijske imovine i visina je limitirana odlukom MIZ-a. Najveći dio sredstava iskorišten je za kupnju medicinske opreme i to u iznosu od 279.151,00 eura i dodatna ulaganja na postrojenjima i opremi u iznosu od 108.750,00 eura (kupljena su </w:t>
      </w:r>
      <w:r>
        <w:rPr>
          <w:rFonts w:cs="Times New Roman"/>
          <w:b w:val="false"/>
          <w:bCs w:val="false"/>
          <w:i w:val="false"/>
          <w:iCs w:val="false"/>
          <w:sz w:val="22"/>
          <w:szCs w:val="22"/>
          <w:u w:val="none"/>
          <w:shd w:fill="auto" w:val="clear"/>
        </w:rPr>
        <w:t>dva kotla za brzu proizvodnju pare za potrebe praonice rublja (Vaporeks))</w:t>
      </w:r>
      <w:r>
        <w:rPr>
          <w:rFonts w:cs="Times New Roman"/>
          <w:b w:val="false"/>
          <w:bCs w:val="false"/>
          <w:sz w:val="22"/>
          <w:szCs w:val="22"/>
          <w:shd w:fill="auto" w:val="clear"/>
        </w:rPr>
        <w:t>. N</w:t>
      </w:r>
      <w:r>
        <w:rPr>
          <w:rFonts w:cs="Times New Roman"/>
          <w:b w:val="false"/>
          <w:bCs w:val="false"/>
          <w:i w:val="false"/>
          <w:iCs w:val="false"/>
          <w:sz w:val="22"/>
          <w:szCs w:val="22"/>
          <w:u w:val="none"/>
          <w:shd w:fill="auto" w:val="clear"/>
        </w:rPr>
        <w:t>ajveće pojedinačno ulaganje u medicinsku opremu je kupnja anesteziološkog aparata u iznosu od 54.750,00 eura za Odjel anestezije i reanimacije.</w:t>
      </w:r>
    </w:p>
    <w:p>
      <w:pPr>
        <w:pStyle w:val="Heading8"/>
        <w:spacing w:lineRule="auto" w:line="276"/>
        <w:jc w:val="left"/>
        <w:rPr>
          <w:rFonts w:cs="Times New Roman"/>
          <w:b w:val="false"/>
          <w:bCs w:val="false"/>
        </w:rPr>
      </w:pPr>
      <w:r>
        <w:rPr>
          <w:rFonts w:cs="Times New Roman"/>
          <w:b w:val="false"/>
          <w:bCs w:val="false"/>
        </w:rPr>
      </w:r>
    </w:p>
    <w:p>
      <w:pPr>
        <w:pStyle w:val="Heading8"/>
        <w:jc w:val="left"/>
        <w:rPr>
          <w:highlight w:val="none"/>
          <w:shd w:fill="auto" w:val="clear"/>
        </w:rPr>
      </w:pPr>
      <w:r>
        <w:rPr>
          <w:rFonts w:cs="Times New Roman"/>
          <w:b/>
          <w:bCs/>
          <w:sz w:val="22"/>
          <w:szCs w:val="22"/>
          <w:shd w:fill="auto" w:val="clear"/>
        </w:rPr>
        <w:t>Ciljevi</w:t>
      </w:r>
    </w:p>
    <w:p>
      <w:pPr>
        <w:pStyle w:val="Heading8"/>
        <w:jc w:val="left"/>
        <w:rPr>
          <w:rFonts w:cs="Times New Roman"/>
          <w:b w:val="false"/>
          <w:bCs w:val="false"/>
          <w:sz w:val="22"/>
          <w:szCs w:val="22"/>
          <w:highlight w:val="none"/>
          <w:shd w:fill="auto" w:val="clear"/>
        </w:rPr>
      </w:pPr>
      <w:r>
        <w:rPr>
          <w:rFonts w:cs="Times New Roman"/>
          <w:b w:val="false"/>
          <w:bCs w:val="false"/>
          <w:sz w:val="22"/>
          <w:szCs w:val="22"/>
          <w:shd w:fill="auto" w:val="clear"/>
        </w:rPr>
      </w:r>
    </w:p>
    <w:p>
      <w:pPr>
        <w:pStyle w:val="Heading8"/>
        <w:spacing w:lineRule="auto" w:line="360"/>
        <w:jc w:val="left"/>
        <w:rPr/>
      </w:pPr>
      <w:r>
        <w:rPr>
          <w:rFonts w:cs="Times New Roman"/>
          <w:b w:val="false"/>
          <w:bCs w:val="false"/>
          <w:sz w:val="22"/>
          <w:szCs w:val="22"/>
          <w:shd w:fill="auto" w:val="clear"/>
        </w:rPr>
        <w:t>Cilj 1. Unapređenje zdravstvene infrastrukture kao i zanavljanje stare i dotrajale opreme i nabavku nove sofisticirane opreme kako bi se mogla pružiti adekvatna zdravstvena zaštita.</w:t>
      </w:r>
    </w:p>
    <w:p>
      <w:pPr>
        <w:pStyle w:val="Heading8"/>
        <w:jc w:val="left"/>
        <w:rPr>
          <w:sz w:val="22"/>
          <w:szCs w:val="22"/>
        </w:rPr>
      </w:pPr>
      <w:r>
        <w:rPr>
          <w:rFonts w:cs="Times New Roman"/>
          <w:b/>
          <w:bCs/>
          <w:sz w:val="22"/>
          <w:szCs w:val="22"/>
        </w:rPr>
        <w:t>Pokazatelji učinka</w:t>
      </w:r>
    </w:p>
    <w:p>
      <w:pPr>
        <w:pStyle w:val="Normal"/>
        <w:jc w:val="left"/>
        <w:rPr>
          <w:sz w:val="22"/>
          <w:szCs w:val="22"/>
        </w:rPr>
      </w:pPr>
      <w:r>
        <w:rPr>
          <w:sz w:val="22"/>
          <w:szCs w:val="22"/>
        </w:rPr>
      </w:r>
    </w:p>
    <w:p>
      <w:pPr>
        <w:pStyle w:val="Normal"/>
        <w:widowControl w:val="false"/>
        <w:spacing w:lineRule="auto" w:line="360" w:before="280" w:after="280"/>
        <w:contextualSpacing/>
        <w:jc w:val="both"/>
        <w:rPr>
          <w:sz w:val="22"/>
          <w:szCs w:val="22"/>
        </w:rPr>
      </w:pPr>
      <w:r>
        <w:rPr>
          <w:rFonts w:eastAsia="Times New Roman" w:cs="Times New Roman"/>
          <w:b/>
          <w:bCs/>
          <w:sz w:val="22"/>
          <w:szCs w:val="22"/>
          <w:lang w:eastAsia="hr-HR"/>
        </w:rPr>
        <w:t>Pokazatelj 1.</w:t>
      </w:r>
    </w:p>
    <w:p>
      <w:pPr>
        <w:pStyle w:val="Normal"/>
        <w:widowControl w:val="false"/>
        <w:spacing w:lineRule="auto" w:line="360" w:before="280" w:after="280"/>
        <w:contextualSpacing/>
        <w:jc w:val="both"/>
        <w:rPr>
          <w:sz w:val="22"/>
          <w:szCs w:val="22"/>
        </w:rPr>
      </w:pPr>
      <w:r>
        <w:rPr>
          <w:rFonts w:eastAsia="Times New Roman" w:cs="Times New Roman"/>
          <w:b w:val="false"/>
          <w:bCs w:val="false"/>
          <w:kern w:val="0"/>
          <w:sz w:val="22"/>
          <w:szCs w:val="22"/>
          <w:lang w:eastAsia="hr-HR" w:bidi="ar-SA"/>
        </w:rPr>
        <w:t>Pokrivanje rashoda za nabavu nefinancijske imovine u sklopu IF 11- Opći prihodi i primici</w:t>
      </w:r>
    </w:p>
    <w:tbl>
      <w:tblPr>
        <w:tblW w:w="9624" w:type="dxa"/>
        <w:jc w:val="left"/>
        <w:tblInd w:w="75" w:type="dxa"/>
        <w:tblLayout w:type="fixed"/>
        <w:tblCellMar>
          <w:top w:w="57" w:type="dxa"/>
          <w:left w:w="57" w:type="dxa"/>
          <w:bottom w:w="57" w:type="dxa"/>
          <w:right w:w="57" w:type="dxa"/>
        </w:tblCellMar>
      </w:tblPr>
      <w:tblGrid>
        <w:gridCol w:w="1842"/>
        <w:gridCol w:w="1758"/>
        <w:gridCol w:w="1139"/>
        <w:gridCol w:w="1071"/>
        <w:gridCol w:w="1426"/>
        <w:gridCol w:w="1187"/>
        <w:gridCol w:w="1200"/>
      </w:tblGrid>
      <w:tr>
        <w:trPr>
          <w:cantSplit w:val="true"/>
        </w:trPr>
        <w:tc>
          <w:tcPr>
            <w:tcW w:w="1842" w:type="dxa"/>
            <w:tcBorders>
              <w:top w:val="single" w:sz="4" w:space="0" w:color="000000"/>
              <w:left w:val="single" w:sz="4" w:space="0" w:color="000000"/>
              <w:bottom w:val="single" w:sz="4" w:space="0" w:color="000000"/>
              <w:right w:val="single" w:sz="4" w:space="0" w:color="000000"/>
            </w:tcBorders>
            <w:shd w:fill="B2B2B2" w:val="clear"/>
          </w:tcPr>
          <w:p>
            <w:pPr>
              <w:pStyle w:val="Normal"/>
              <w:widowControl w:val="false"/>
              <w:spacing w:before="0" w:after="120"/>
              <w:jc w:val="center"/>
              <w:rPr>
                <w:sz w:val="20"/>
                <w:szCs w:val="20"/>
              </w:rPr>
            </w:pPr>
            <w:r>
              <w:rPr>
                <w:sz w:val="20"/>
                <w:szCs w:val="20"/>
                <w:shd w:fill="auto" w:val="clear"/>
                <w:lang w:eastAsia="en-US" w:bidi="ar-SA"/>
              </w:rPr>
              <w:t xml:space="preserve">Pokazatelj </w:t>
            </w:r>
            <w:r>
              <w:rPr>
                <w:rFonts w:eastAsia="Times New Roman"/>
                <w:bCs/>
                <w:color w:val="000000"/>
                <w:kern w:val="0"/>
                <w:sz w:val="20"/>
                <w:szCs w:val="20"/>
                <w:shd w:fill="auto" w:val="clear"/>
                <w:lang w:val="sl-SI" w:eastAsia="hr-HR" w:bidi="ar-SA"/>
              </w:rPr>
              <w:t>učinka</w:t>
            </w:r>
          </w:p>
        </w:tc>
        <w:tc>
          <w:tcPr>
            <w:tcW w:w="1758"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tcPr>
          <w:p>
            <w:pPr>
              <w:pStyle w:val="CellHeader"/>
              <w:widowControl w:val="false"/>
              <w:spacing w:before="0" w:after="120"/>
              <w:jc w:val="center"/>
              <w:rPr>
                <w:sz w:val="20"/>
                <w:szCs w:val="20"/>
              </w:rPr>
            </w:pPr>
            <w:r>
              <w:rPr>
                <w:sz w:val="20"/>
                <w:szCs w:val="20"/>
                <w:shd w:fill="auto" w:val="clear"/>
                <w:lang w:bidi="ar-SA"/>
              </w:rPr>
              <w:t>Definicija</w:t>
            </w:r>
          </w:p>
        </w:tc>
        <w:tc>
          <w:tcPr>
            <w:tcW w:w="1139"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tcPr>
          <w:p>
            <w:pPr>
              <w:pStyle w:val="CellHeader"/>
              <w:widowControl w:val="false"/>
              <w:spacing w:before="0" w:after="120"/>
              <w:jc w:val="center"/>
              <w:rPr>
                <w:sz w:val="20"/>
                <w:szCs w:val="20"/>
              </w:rPr>
            </w:pPr>
            <w:r>
              <w:rPr>
                <w:sz w:val="20"/>
                <w:szCs w:val="20"/>
                <w:shd w:fill="auto" w:val="clear"/>
                <w:lang w:bidi="ar-SA"/>
              </w:rPr>
              <w:t>Jedinica</w:t>
            </w:r>
          </w:p>
        </w:tc>
        <w:tc>
          <w:tcPr>
            <w:tcW w:w="1071"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tcPr>
          <w:p>
            <w:pPr>
              <w:pStyle w:val="CellHeader"/>
              <w:widowControl w:val="false"/>
              <w:spacing w:before="0" w:after="120"/>
              <w:jc w:val="center"/>
              <w:rPr>
                <w:sz w:val="20"/>
                <w:szCs w:val="20"/>
              </w:rPr>
            </w:pPr>
            <w:r>
              <w:rPr>
                <w:sz w:val="20"/>
                <w:szCs w:val="20"/>
                <w:shd w:fill="auto" w:val="clear"/>
                <w:lang w:bidi="ar-SA"/>
              </w:rPr>
              <w:t>Polazna vrijednost</w:t>
            </w:r>
          </w:p>
        </w:tc>
        <w:tc>
          <w:tcPr>
            <w:tcW w:w="1426"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tcPr>
          <w:p>
            <w:pPr>
              <w:pStyle w:val="CellHeader"/>
              <w:widowControl w:val="false"/>
              <w:spacing w:before="0" w:after="120"/>
              <w:jc w:val="center"/>
              <w:rPr>
                <w:sz w:val="20"/>
                <w:szCs w:val="20"/>
              </w:rPr>
            </w:pPr>
            <w:r>
              <w:rPr>
                <w:sz w:val="20"/>
                <w:szCs w:val="20"/>
                <w:shd w:fill="auto" w:val="clear"/>
                <w:lang w:bidi="ar-SA"/>
              </w:rPr>
              <w:t>Izvor podataka</w:t>
            </w:r>
          </w:p>
        </w:tc>
        <w:tc>
          <w:tcPr>
            <w:tcW w:w="1187"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tcPr>
          <w:p>
            <w:pPr>
              <w:pStyle w:val="CellHeader"/>
              <w:widowControl w:val="false"/>
              <w:spacing w:before="0" w:after="120"/>
              <w:jc w:val="center"/>
              <w:rPr>
                <w:sz w:val="20"/>
                <w:szCs w:val="20"/>
              </w:rPr>
            </w:pPr>
            <w:r>
              <w:rPr>
                <w:sz w:val="20"/>
                <w:szCs w:val="20"/>
                <w:shd w:fill="auto" w:val="clear"/>
                <w:lang w:bidi="ar-SA"/>
              </w:rPr>
              <w:t>Ciljana vrijednost (2025.)</w:t>
            </w:r>
          </w:p>
        </w:tc>
        <w:tc>
          <w:tcPr>
            <w:tcW w:w="1200" w:type="dxa"/>
            <w:tcBorders>
              <w:top w:val="single" w:sz="4" w:space="0" w:color="000000"/>
              <w:left w:val="single" w:sz="4" w:space="0" w:color="000000"/>
              <w:bottom w:val="single" w:sz="4" w:space="0" w:color="000000"/>
              <w:right w:val="single" w:sz="4" w:space="0" w:color="000000"/>
            </w:tcBorders>
            <w:shd w:fill="B2B2B2" w:val="clear"/>
            <w:tcMar>
              <w:top w:w="55" w:type="dxa"/>
              <w:left w:w="55" w:type="dxa"/>
              <w:bottom w:w="55" w:type="dxa"/>
              <w:right w:w="55" w:type="dxa"/>
            </w:tcMar>
          </w:tcPr>
          <w:p>
            <w:pPr>
              <w:pStyle w:val="BodyText"/>
              <w:widowControl w:val="false"/>
              <w:jc w:val="center"/>
              <w:rPr>
                <w:sz w:val="20"/>
                <w:szCs w:val="20"/>
              </w:rPr>
            </w:pPr>
            <w:r>
              <w:rPr>
                <w:sz w:val="20"/>
                <w:szCs w:val="20"/>
                <w:shd w:fill="auto" w:val="clear"/>
              </w:rPr>
              <w:t>Ostvareno na dan</w:t>
            </w:r>
          </w:p>
          <w:p>
            <w:pPr>
              <w:pStyle w:val="BodyText"/>
              <w:widowControl w:val="false"/>
              <w:spacing w:before="0" w:after="120"/>
              <w:jc w:val="center"/>
              <w:rPr>
                <w:sz w:val="20"/>
                <w:szCs w:val="20"/>
              </w:rPr>
            </w:pPr>
            <w:r>
              <w:rPr>
                <w:sz w:val="20"/>
                <w:szCs w:val="20"/>
                <w:shd w:fill="auto" w:val="clear"/>
                <w:lang w:bidi="ar-SA"/>
              </w:rPr>
              <w:t>31.12.25.</w:t>
            </w:r>
          </w:p>
        </w:tc>
      </w:tr>
      <w:tr>
        <w:trPr/>
        <w:tc>
          <w:tcPr>
            <w:tcW w:w="1842"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sz w:val="20"/>
                <w:szCs w:val="20"/>
              </w:rPr>
            </w:pPr>
            <w:r>
              <w:rPr>
                <w:rFonts w:cs="Times New Roman"/>
                <w:kern w:val="0"/>
                <w:sz w:val="20"/>
                <w:szCs w:val="20"/>
                <w:lang w:bidi="ar-SA"/>
              </w:rPr>
              <w:t>Pokrivanje rashoda za nabavu nefinancijske imovine u sklopu IF 11- Opći prihodi i primici</w:t>
            </w:r>
          </w:p>
        </w:tc>
        <w:tc>
          <w:tcPr>
            <w:tcW w:w="1758"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sz w:val="20"/>
                <w:szCs w:val="20"/>
              </w:rPr>
            </w:pPr>
            <w:r>
              <w:rPr>
                <w:rFonts w:cs="Times New Roman"/>
                <w:kern w:val="0"/>
                <w:sz w:val="20"/>
                <w:szCs w:val="20"/>
                <w:lang w:bidi="ar-SA"/>
              </w:rPr>
              <w:t>Pokrivanje rashoda za nabavu nefinancijske imovine u sklopu IF 11- Opći prihodi i primici</w:t>
            </w:r>
          </w:p>
        </w:tc>
        <w:tc>
          <w:tcPr>
            <w:tcW w:w="1139"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20"/>
                <w:szCs w:val="20"/>
              </w:rPr>
            </w:pPr>
            <w:r>
              <w:rPr>
                <w:rFonts w:cs="Times New Roman"/>
                <w:sz w:val="20"/>
                <w:szCs w:val="20"/>
              </w:rPr>
            </w:r>
          </w:p>
          <w:p>
            <w:pPr>
              <w:pStyle w:val="Normal"/>
              <w:widowControl w:val="false"/>
              <w:jc w:val="center"/>
              <w:rPr>
                <w:rFonts w:cs="Times New Roman"/>
                <w:sz w:val="20"/>
                <w:szCs w:val="20"/>
              </w:rPr>
            </w:pPr>
            <w:r>
              <w:rPr>
                <w:rFonts w:cs="Times New Roman"/>
                <w:sz w:val="20"/>
                <w:szCs w:val="20"/>
              </w:rPr>
            </w:r>
          </w:p>
          <w:p>
            <w:pPr>
              <w:pStyle w:val="Normal"/>
              <w:widowControl w:val="false"/>
              <w:spacing w:before="0" w:after="120"/>
              <w:jc w:val="center"/>
              <w:rPr>
                <w:sz w:val="20"/>
                <w:szCs w:val="20"/>
              </w:rPr>
            </w:pPr>
            <w:r>
              <w:rPr>
                <w:rFonts w:cs="Times New Roman"/>
                <w:sz w:val="20"/>
                <w:szCs w:val="20"/>
              </w:rPr>
              <w:t>Postotak</w:t>
            </w:r>
          </w:p>
        </w:tc>
        <w:tc>
          <w:tcPr>
            <w:tcW w:w="1071"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100</w:t>
            </w:r>
          </w:p>
        </w:tc>
        <w:tc>
          <w:tcPr>
            <w:tcW w:w="14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Ostvarenje financijskog plana</w:t>
            </w:r>
          </w:p>
        </w:tc>
        <w:tc>
          <w:tcPr>
            <w:tcW w:w="1187"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90</w:t>
            </w:r>
          </w:p>
        </w:tc>
        <w:tc>
          <w:tcPr>
            <w:tcW w:w="1200"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100</w:t>
            </w:r>
          </w:p>
        </w:tc>
      </w:tr>
      <w:tr>
        <w:trPr/>
        <w:tc>
          <w:tcPr>
            <w:tcW w:w="1842"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suppressAutoHyphens w:val="true"/>
              <w:spacing w:lineRule="auto" w:line="240" w:before="0" w:after="160"/>
              <w:jc w:val="center"/>
              <w:rPr>
                <w:sz w:val="22"/>
              </w:rPr>
            </w:pPr>
            <w:r>
              <w:rPr>
                <w:rFonts w:eastAsia="Calibri" w:cs="Times New Roman"/>
                <w:kern w:val="0"/>
                <w:sz w:val="22"/>
                <w:szCs w:val="22"/>
                <w:lang w:val="hr-HR" w:eastAsia="en-US" w:bidi="ar-SA"/>
              </w:rPr>
              <w:t>Udio isplaćenih sredstva za ulaganje u opremu u ukupno planiranim sredstvima</w:t>
            </w:r>
          </w:p>
        </w:tc>
        <w:tc>
          <w:tcPr>
            <w:tcW w:w="1758"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suppressAutoHyphens w:val="true"/>
              <w:spacing w:lineRule="auto" w:line="240" w:before="0" w:after="160"/>
              <w:jc w:val="center"/>
              <w:rPr>
                <w:sz w:val="22"/>
              </w:rPr>
            </w:pPr>
            <w:r>
              <w:rPr>
                <w:rFonts w:eastAsia="Calibri" w:cs="Times New Roman"/>
                <w:kern w:val="0"/>
                <w:sz w:val="22"/>
                <w:szCs w:val="22"/>
                <w:lang w:val="hr-HR" w:eastAsia="en-US" w:bidi="ar-SA"/>
              </w:rPr>
              <w:t>Podizanjem razine kvalitete medicinske opreme osigurati očuvanje zdravlja stanovništva</w:t>
            </w:r>
          </w:p>
        </w:tc>
        <w:tc>
          <w:tcPr>
            <w:tcW w:w="1139"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20"/>
                <w:szCs w:val="20"/>
              </w:rPr>
            </w:pPr>
            <w:r>
              <w:rPr>
                <w:rFonts w:cs="Times New Roman"/>
                <w:sz w:val="20"/>
                <w:szCs w:val="20"/>
              </w:rPr>
            </w:r>
          </w:p>
          <w:p>
            <w:pPr>
              <w:pStyle w:val="Normal"/>
              <w:widowControl w:val="false"/>
              <w:spacing w:before="0" w:after="120"/>
              <w:jc w:val="center"/>
              <w:rPr>
                <w:sz w:val="20"/>
                <w:szCs w:val="20"/>
              </w:rPr>
            </w:pPr>
            <w:r>
              <w:rPr>
                <w:rFonts w:cs="Times New Roman"/>
                <w:sz w:val="20"/>
                <w:szCs w:val="20"/>
              </w:rPr>
              <w:t>Postotak</w:t>
            </w:r>
          </w:p>
        </w:tc>
        <w:tc>
          <w:tcPr>
            <w:tcW w:w="1071"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81,82</w:t>
            </w:r>
          </w:p>
        </w:tc>
        <w:tc>
          <w:tcPr>
            <w:tcW w:w="14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pacing w:before="0" w:after="120"/>
              <w:jc w:val="center"/>
              <w:rPr>
                <w:sz w:val="20"/>
                <w:szCs w:val="20"/>
              </w:rPr>
            </w:pPr>
            <w:r>
              <w:rPr>
                <w:sz w:val="20"/>
                <w:szCs w:val="20"/>
              </w:rPr>
              <w:t>Ostvarenje financijskog plana</w:t>
            </w:r>
          </w:p>
        </w:tc>
        <w:tc>
          <w:tcPr>
            <w:tcW w:w="1187"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r>
          </w:p>
          <w:p>
            <w:pPr>
              <w:pStyle w:val="TableContents"/>
              <w:widowControl w:val="false"/>
              <w:snapToGrid w:val="false"/>
              <w:jc w:val="center"/>
              <w:rPr>
                <w:sz w:val="20"/>
                <w:szCs w:val="20"/>
              </w:rPr>
            </w:pPr>
            <w:r>
              <w:rPr>
                <w:sz w:val="20"/>
                <w:szCs w:val="20"/>
              </w:rPr>
              <w:t>64,37</w:t>
            </w:r>
          </w:p>
          <w:p>
            <w:pPr>
              <w:pStyle w:val="TableContents"/>
              <w:widowControl w:val="false"/>
              <w:snapToGrid w:val="false"/>
              <w:jc w:val="center"/>
              <w:rPr>
                <w:sz w:val="20"/>
                <w:szCs w:val="20"/>
              </w:rPr>
            </w:pPr>
            <w:r>
              <w:rPr>
                <w:sz w:val="20"/>
                <w:szCs w:val="20"/>
              </w:rPr>
            </w:r>
          </w:p>
        </w:tc>
        <w:tc>
          <w:tcPr>
            <w:tcW w:w="1200"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20"/>
                <w:szCs w:val="20"/>
              </w:rPr>
            </w:pPr>
            <w:r>
              <w:rPr>
                <w:sz w:val="20"/>
                <w:szCs w:val="20"/>
              </w:rPr>
              <w:t>70,79</w:t>
            </w:r>
          </w:p>
        </w:tc>
      </w:tr>
    </w:tbl>
    <w:p>
      <w:pPr>
        <w:pStyle w:val="Heading3"/>
        <w:numPr>
          <w:ilvl w:val="0"/>
          <w:numId w:val="0"/>
        </w:numPr>
        <w:shd w:val="clear" w:fill="E6E6E6"/>
        <w:ind w:hanging="0" w:left="0" w:right="0"/>
        <w:jc w:val="left"/>
        <w:rPr/>
      </w:pPr>
      <w:r>
        <w:rPr>
          <w:rFonts w:cs="Times New Roman"/>
          <w:b/>
          <w:bCs/>
          <w:sz w:val="22"/>
          <w:szCs w:val="22"/>
          <w:shd w:fill="DDDDDD" w:val="clear"/>
        </w:rPr>
        <w:t>3605 SIGURNOST GRAĐANA I PRAVA NA ZDRAVSTVENE USLUGE</w:t>
      </w:r>
    </w:p>
    <w:p>
      <w:pPr>
        <w:pStyle w:val="Normal"/>
        <w:jc w:val="left"/>
        <w:rPr>
          <w:rFonts w:cs="Times New Roman"/>
          <w:b/>
          <w:bCs/>
        </w:rPr>
      </w:pPr>
      <w:r>
        <w:rPr>
          <w:rFonts w:cs="Times New Roman"/>
          <w:b/>
          <w:bCs/>
        </w:rPr>
      </w:r>
    </w:p>
    <w:tbl>
      <w:tblPr>
        <w:tblW w:w="5000" w:type="pct"/>
        <w:jc w:val="center"/>
        <w:tblInd w:w="0" w:type="dxa"/>
        <w:tblLayout w:type="fixed"/>
        <w:tblCellMar>
          <w:top w:w="57" w:type="dxa"/>
          <w:left w:w="57" w:type="dxa"/>
          <w:bottom w:w="57" w:type="dxa"/>
          <w:right w:w="57" w:type="dxa"/>
        </w:tblCellMar>
        <w:tblLook w:val="04a0"/>
      </w:tblPr>
      <w:tblGrid>
        <w:gridCol w:w="2089"/>
        <w:gridCol w:w="2325"/>
        <w:gridCol w:w="1826"/>
        <w:gridCol w:w="1786"/>
        <w:gridCol w:w="1334"/>
      </w:tblGrid>
      <w:tr>
        <w:trPr>
          <w:cantSplit w:val="true"/>
        </w:trPr>
        <w:tc>
          <w:tcPr>
            <w:tcW w:w="2089" w:type="dxa"/>
            <w:tcBorders>
              <w:top w:val="single" w:sz="4" w:space="0" w:color="000000"/>
              <w:left w:val="single" w:sz="4" w:space="0" w:color="000000"/>
              <w:bottom w:val="single" w:sz="4" w:space="0" w:color="000000"/>
            </w:tcBorders>
            <w:shd w:color="auto" w:fill="B5C0D8" w:val="clear"/>
            <w:vAlign w:val="center"/>
          </w:tcPr>
          <w:p>
            <w:pPr>
              <w:pStyle w:val="CellHeader"/>
              <w:widowControl w:val="false"/>
              <w:spacing w:before="0" w:after="120"/>
              <w:jc w:val="center"/>
              <w:rPr>
                <w:b/>
                <w:bCs/>
                <w:sz w:val="16"/>
                <w:szCs w:val="16"/>
              </w:rPr>
            </w:pPr>
            <w:r>
              <w:rPr>
                <w:b/>
                <w:bCs/>
                <w:sz w:val="16"/>
                <w:szCs w:val="16"/>
              </w:rPr>
              <w:t>PROGRAM</w:t>
            </w:r>
          </w:p>
        </w:tc>
        <w:tc>
          <w:tcPr>
            <w:tcW w:w="2325"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IZVORNI PLAN ILI REBALANS </w:t>
              <w:br/>
              <w:t>2025.</w:t>
            </w:r>
          </w:p>
        </w:tc>
        <w:tc>
          <w:tcPr>
            <w:tcW w:w="1826"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TEKUĆI PLAN </w:t>
              <w:br/>
              <w:t>2025.</w:t>
            </w:r>
          </w:p>
        </w:tc>
        <w:tc>
          <w:tcPr>
            <w:tcW w:w="1786" w:type="dxa"/>
            <w:tcBorders>
              <w:top w:val="single" w:sz="4" w:space="0" w:color="000000"/>
              <w:left w:val="single" w:sz="4" w:space="0" w:color="000000"/>
              <w:bottom w:val="single" w:sz="4" w:space="0" w:color="000000"/>
            </w:tcBorders>
            <w:shd w:color="auto" w:fill="B5C0D8" w:val="clear"/>
            <w:vAlign w:val="center"/>
          </w:tcPr>
          <w:p>
            <w:pPr>
              <w:pStyle w:val="Normal"/>
              <w:tabs>
                <w:tab w:val="clear" w:pos="720"/>
              </w:tabs>
              <w:jc w:val="center"/>
              <w:rPr>
                <w:b/>
                <w:bCs/>
                <w:sz w:val="16"/>
                <w:szCs w:val="16"/>
              </w:rPr>
            </w:pPr>
            <w:r>
              <w:rPr>
                <w:rFonts w:cs="Times New Roman"/>
                <w:b/>
                <w:bCs/>
                <w:sz w:val="16"/>
                <w:szCs w:val="16"/>
              </w:rPr>
              <w:t xml:space="preserve">OSTVARENJE/IZVRŠENJE </w:t>
              <w:br/>
              <w:t>01.2025. - 12.2025.</w:t>
            </w:r>
          </w:p>
        </w:tc>
        <w:tc>
          <w:tcPr>
            <w:tcW w:w="1334" w:type="dxa"/>
            <w:tcBorders>
              <w:top w:val="single" w:sz="4" w:space="0" w:color="000000"/>
              <w:left w:val="single" w:sz="4" w:space="0" w:color="000000"/>
              <w:bottom w:val="single" w:sz="4" w:space="0" w:color="000000"/>
              <w:right w:val="single" w:sz="4" w:space="0" w:color="000000"/>
            </w:tcBorders>
            <w:shd w:color="auto" w:fill="B5C0D8" w:val="clear"/>
            <w:vAlign w:val="center"/>
          </w:tcPr>
          <w:p>
            <w:pPr>
              <w:pStyle w:val="CellHeader"/>
              <w:widowControl w:val="false"/>
              <w:spacing w:before="0" w:after="120"/>
              <w:jc w:val="center"/>
              <w:rPr>
                <w:b/>
                <w:bCs/>
                <w:sz w:val="16"/>
                <w:szCs w:val="16"/>
              </w:rPr>
            </w:pPr>
            <w:r>
              <w:rPr>
                <w:rFonts w:cs="Times New Roman"/>
                <w:b/>
                <w:bCs/>
                <w:sz w:val="16"/>
                <w:szCs w:val="16"/>
              </w:rPr>
              <w:t>Indeks</w:t>
            </w:r>
          </w:p>
        </w:tc>
      </w:tr>
      <w:tr>
        <w:trPr>
          <w:cantSplit w:val="true"/>
        </w:trPr>
        <w:tc>
          <w:tcPr>
            <w:tcW w:w="2089" w:type="dxa"/>
            <w:tcBorders>
              <w:left w:val="single" w:sz="4" w:space="0" w:color="000000"/>
              <w:bottom w:val="single" w:sz="4" w:space="0" w:color="000000"/>
            </w:tcBorders>
            <w:vAlign w:val="center"/>
          </w:tcPr>
          <w:p>
            <w:pPr>
              <w:pStyle w:val="CellColumn"/>
              <w:widowControl w:val="false"/>
              <w:spacing w:before="0" w:after="120"/>
              <w:jc w:val="center"/>
              <w:rPr>
                <w:sz w:val="20"/>
                <w:szCs w:val="20"/>
              </w:rPr>
            </w:pPr>
            <w:r>
              <w:rPr>
                <w:sz w:val="20"/>
                <w:szCs w:val="20"/>
              </w:rPr>
              <w:t>3605</w:t>
            </w:r>
          </w:p>
        </w:tc>
        <w:tc>
          <w:tcPr>
            <w:tcW w:w="2325"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14.978.767</w:t>
            </w:r>
          </w:p>
        </w:tc>
        <w:tc>
          <w:tcPr>
            <w:tcW w:w="1826"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14.978.767</w:t>
            </w:r>
          </w:p>
        </w:tc>
        <w:tc>
          <w:tcPr>
            <w:tcW w:w="1786" w:type="dxa"/>
            <w:tcBorders>
              <w:left w:val="single" w:sz="4" w:space="0" w:color="000000"/>
              <w:bottom w:val="single" w:sz="4" w:space="0" w:color="000000"/>
            </w:tcBorders>
            <w:vAlign w:val="center"/>
          </w:tcPr>
          <w:p>
            <w:pPr>
              <w:pStyle w:val="Normal"/>
              <w:widowControl w:val="false"/>
              <w:spacing w:before="0" w:after="120"/>
              <w:jc w:val="center"/>
              <w:rPr>
                <w:sz w:val="20"/>
                <w:szCs w:val="20"/>
              </w:rPr>
            </w:pPr>
            <w:r>
              <w:rPr>
                <w:sz w:val="20"/>
                <w:szCs w:val="20"/>
              </w:rPr>
              <w:t>14.718.996,73</w:t>
            </w:r>
          </w:p>
        </w:tc>
        <w:tc>
          <w:tcPr>
            <w:tcW w:w="1334" w:type="dxa"/>
            <w:tcBorders>
              <w:left w:val="single" w:sz="4" w:space="0" w:color="000000"/>
              <w:bottom w:val="single" w:sz="4" w:space="0" w:color="000000"/>
              <w:right w:val="single" w:sz="4" w:space="0" w:color="000000"/>
            </w:tcBorders>
            <w:vAlign w:val="center"/>
          </w:tcPr>
          <w:p>
            <w:pPr>
              <w:pStyle w:val="Normal"/>
              <w:widowControl w:val="false"/>
              <w:spacing w:before="0" w:after="120"/>
              <w:jc w:val="center"/>
              <w:rPr>
                <w:sz w:val="20"/>
                <w:szCs w:val="20"/>
              </w:rPr>
            </w:pPr>
            <w:r>
              <w:rPr>
                <w:sz w:val="20"/>
                <w:szCs w:val="20"/>
              </w:rPr>
              <w:t>98,27</w:t>
            </w:r>
          </w:p>
        </w:tc>
      </w:tr>
    </w:tbl>
    <w:p>
      <w:pPr>
        <w:pStyle w:val="Heading8"/>
        <w:jc w:val="left"/>
        <w:rPr>
          <w:rFonts w:cs="Times New Roman"/>
          <w:b/>
          <w:bCs/>
        </w:rPr>
      </w:pPr>
      <w:r>
        <w:rPr>
          <w:rFonts w:cs="Times New Roman"/>
          <w:b/>
          <w:bCs/>
        </w:rPr>
      </w:r>
    </w:p>
    <w:p>
      <w:pPr>
        <w:pStyle w:val="Normal"/>
        <w:spacing w:lineRule="auto" w:line="360"/>
        <w:jc w:val="both"/>
        <w:rPr/>
      </w:pPr>
      <w:r>
        <w:rPr>
          <w:b/>
          <w:bCs/>
          <w:sz w:val="22"/>
          <w:szCs w:val="22"/>
        </w:rPr>
        <w:t>IF 31 Vlastiti prihodi;</w:t>
      </w:r>
      <w:r>
        <w:rPr>
          <w:sz w:val="22"/>
          <w:szCs w:val="22"/>
        </w:rPr>
        <w:t xml:space="preserve"> su ostvareni u iznosu od 225.240,17 eura  ili 84,86 % tekućeg godišnjeg plana. Iz vlastitih prihoda plaćeno je 191.931,48 eura  ili 72,31 % tekućeg godišnjeg plana. P</w:t>
      </w:r>
      <w:r>
        <w:rPr>
          <w:iCs/>
          <w:sz w:val="22"/>
          <w:szCs w:val="22"/>
        </w:rPr>
        <w:t>rihodi od pruženih usluga</w:t>
      </w:r>
      <w:r>
        <w:rPr>
          <w:sz w:val="22"/>
          <w:szCs w:val="22"/>
        </w:rPr>
        <w:t xml:space="preserve"> uključuju prihode od pružanja usluga privatnicima, drugim zdravstvenim ustanovama kao i prihode od ostalih korisnika zdravstvenih usluga (sistematskih pregleda i sl.), zatim prihode od najma poslovnog prostora te korištenja prostora mrtvačnice. </w:t>
      </w:r>
    </w:p>
    <w:p>
      <w:pPr>
        <w:pStyle w:val="Normal"/>
        <w:spacing w:lineRule="auto" w:line="360"/>
        <w:jc w:val="both"/>
        <w:rPr/>
      </w:pPr>
      <w:r>
        <w:rPr>
          <w:b/>
          <w:bCs/>
          <w:sz w:val="22"/>
          <w:szCs w:val="22"/>
          <w:shd w:fill="auto" w:val="clear"/>
        </w:rPr>
        <w:t>IF 43 Ostali prihodi za posebne namjene;</w:t>
      </w:r>
      <w:r>
        <w:rPr>
          <w:sz w:val="22"/>
          <w:szCs w:val="22"/>
          <w:shd w:fill="auto" w:val="clear"/>
        </w:rPr>
        <w:t xml:space="preserve"> su ostvareni u iznosu od 13.987.625,76 eura ili 96,62 % tekućeg godišnjeg plana. Ostvarena su sredstva za nesmetano provođenje svih aktivnosti vezanih uz pružanje zdravstvene zaštite pacijentima. Iz gore navedenih prihoda isplaćeno je u okviru ukupnih rashoda i izdataka iznos od 14.305.165,83 eura  ili 98,81 % tekućeg godišnjeg plana. Najveći dio se odnosi na rashode za zaposlene Bolnice. Rashodi za bruto plaću i doprinose uz ostale rashode za zaposlene koji uključuju jubilarne nagrade, otpremnine, dar za djecu, naknade za rođenje djeteta, pomoći za bolovanje duže od 90 dana, uskrsnica, božićnica, regres te ostale pomoći. U okviru materijalnih rashoda najveći udio sredstava je isplaćen za lijekove i potrošni medicinski materijal. Nadalje na ovoj aktivnosti isplaćena su sredstva za živežne namirnice, medicinske plinove, materijal za održavanje čistoće, uredski materijal, ostale razne materijale, utrošenu energiju, ugrađene rezervne dijelove, poštanske izdatke, ostale izdatke, rashode za usluge i sve ostale nespomenute rashode.</w:t>
      </w:r>
    </w:p>
    <w:p>
      <w:pPr>
        <w:pStyle w:val="Normal"/>
        <w:spacing w:lineRule="auto" w:line="360"/>
        <w:jc w:val="both"/>
        <w:rPr>
          <w:sz w:val="22"/>
          <w:szCs w:val="22"/>
        </w:rPr>
      </w:pPr>
      <w:r>
        <w:rPr>
          <w:b/>
          <w:bCs/>
          <w:sz w:val="22"/>
          <w:szCs w:val="22"/>
        </w:rPr>
        <w:t xml:space="preserve">IF52 Ostale pomoći; </w:t>
      </w:r>
      <w:r>
        <w:rPr>
          <w:sz w:val="22"/>
          <w:szCs w:val="22"/>
        </w:rPr>
        <w:t xml:space="preserve">su ostvarene u iznosu od 700,00 eura ili 1,54 % tekućeg godišnjeg plana. Ostvareno </w:t>
      </w:r>
      <w:r>
        <w:rPr>
          <w:sz w:val="22"/>
          <w:szCs w:val="22"/>
          <w:lang w:eastAsia="hr-HR"/>
        </w:rPr>
        <w:t>u izvještajnom razdoblju se odnosi na pomoć Općine Biskupije za opremanje kuhinje u ravnateljstvu Bolnice i Općine Kistanje za obnovu Jedinice za intezivno liječenje. Iz ostalih pomoći plaćeno je 43.206,55 eura ili 94,94 % tekućeg godišnjeg plana. Iznos od 42.506,55 eura o</w:t>
      </w:r>
      <w:r>
        <w:rPr>
          <w:sz w:val="22"/>
          <w:szCs w:val="22"/>
        </w:rPr>
        <w:t>dnosi se na pomoć od HZZ-a za plaćanje mjere zapošljavanja pripravnika i za neiskorištena sredstva je napravljen prijenos iz 2024. godine.</w:t>
      </w:r>
    </w:p>
    <w:p>
      <w:pPr>
        <w:pStyle w:val="Normal"/>
        <w:spacing w:lineRule="auto" w:line="360"/>
        <w:jc w:val="both"/>
        <w:rPr>
          <w:sz w:val="22"/>
          <w:szCs w:val="22"/>
        </w:rPr>
      </w:pPr>
      <w:r>
        <w:rPr>
          <w:rFonts w:cs="Times New Roman"/>
          <w:b/>
          <w:bCs/>
          <w:sz w:val="22"/>
          <w:szCs w:val="22"/>
        </w:rPr>
        <w:t>IF 61 Donacije;</w:t>
      </w:r>
      <w:r>
        <w:rPr>
          <w:rFonts w:cs="Times New Roman"/>
          <w:b w:val="false"/>
          <w:bCs w:val="false"/>
          <w:sz w:val="22"/>
          <w:szCs w:val="22"/>
        </w:rPr>
        <w:t xml:space="preserve"> su ostvarene u iznosu od 31.831,87 eur ili 72,93 % tekućeg godišnjeg plana. </w:t>
      </w:r>
      <w:r>
        <w:rPr>
          <w:rFonts w:cs="Times New Roman"/>
          <w:b w:val="false"/>
          <w:bCs w:val="false"/>
          <w:iCs/>
          <w:sz w:val="22"/>
          <w:szCs w:val="22"/>
        </w:rPr>
        <w:t>Prihodi od donacija</w:t>
      </w:r>
      <w:r>
        <w:rPr>
          <w:rFonts w:cs="Times New Roman"/>
          <w:b w:val="false"/>
          <w:bCs w:val="false"/>
          <w:sz w:val="22"/>
          <w:szCs w:val="22"/>
        </w:rPr>
        <w:t xml:space="preserve"> odnose se na tekuće i kapitalne donacije od pravnih i fizičkih osoba izvan općeg proračuna. Isti iznos je ostvaren i na rashodima. </w:t>
      </w:r>
    </w:p>
    <w:p>
      <w:pPr>
        <w:pStyle w:val="Normal"/>
        <w:spacing w:lineRule="auto" w:line="360"/>
        <w:jc w:val="both"/>
        <w:rPr>
          <w:sz w:val="22"/>
          <w:szCs w:val="22"/>
        </w:rPr>
      </w:pPr>
      <w:r>
        <w:rPr>
          <w:rFonts w:cs="Times New Roman"/>
          <w:b/>
          <w:bCs/>
          <w:sz w:val="22"/>
          <w:szCs w:val="22"/>
          <w:shd w:fill="auto" w:val="clear"/>
        </w:rPr>
        <w:t>IF11 Opći prihodi i primici</w:t>
      </w:r>
      <w:r>
        <w:rPr>
          <w:rFonts w:cs="Times New Roman"/>
          <w:b w:val="false"/>
          <w:bCs w:val="false"/>
          <w:sz w:val="22"/>
          <w:szCs w:val="22"/>
          <w:shd w:fill="auto" w:val="clear"/>
        </w:rPr>
        <w:t xml:space="preserve"> su ostvareni u iznosu od 146.861,00 eura  ili 100,00 % tekućeg godišnjeg plana, ostvarena su za pokriće troškova premija osiguranja imovine i zaposlenika od odgovornosti.</w:t>
      </w:r>
    </w:p>
    <w:p>
      <w:pPr>
        <w:pStyle w:val="Heading8"/>
        <w:jc w:val="left"/>
        <w:rPr>
          <w:sz w:val="22"/>
          <w:szCs w:val="22"/>
        </w:rPr>
      </w:pPr>
      <w:r>
        <w:rPr>
          <w:rFonts w:cs="Times New Roman"/>
          <w:b/>
          <w:bCs/>
          <w:sz w:val="22"/>
          <w:szCs w:val="22"/>
        </w:rPr>
        <w:t>Ciljevi</w:t>
      </w:r>
    </w:p>
    <w:p>
      <w:pPr>
        <w:pStyle w:val="Heading8"/>
        <w:spacing w:lineRule="auto" w:line="360"/>
        <w:jc w:val="left"/>
        <w:rPr>
          <w:sz w:val="20"/>
          <w:szCs w:val="20"/>
        </w:rPr>
      </w:pPr>
      <w:r>
        <w:rPr>
          <w:rFonts w:cs="Times New Roman"/>
          <w:b w:val="false"/>
          <w:bCs w:val="false"/>
          <w:sz w:val="20"/>
          <w:szCs w:val="20"/>
        </w:rPr>
        <w:t>Cilj 1. Osnovni cilj Bolnice je uspješno i kvalitetno pružanje zdravstvene zaštite kako bolničke tako i specijalističko- konzilijarne zdravstvene zaštite na temelju:</w:t>
      </w:r>
    </w:p>
    <w:p>
      <w:pPr>
        <w:pStyle w:val="Heading8"/>
        <w:spacing w:lineRule="auto" w:line="360"/>
        <w:jc w:val="left"/>
        <w:rPr>
          <w:sz w:val="20"/>
          <w:szCs w:val="20"/>
        </w:rPr>
      </w:pPr>
      <w:r>
        <w:rPr>
          <w:rFonts w:cs="Times New Roman"/>
          <w:b w:val="false"/>
          <w:bCs w:val="false"/>
          <w:sz w:val="20"/>
          <w:szCs w:val="20"/>
        </w:rPr>
        <w:t>-</w:t>
      </w:r>
      <w:r>
        <w:rPr>
          <w:rFonts w:cs="Times New Roman"/>
          <w:b w:val="false"/>
          <w:bCs w:val="false"/>
          <w:color w:val="C9211E"/>
          <w:sz w:val="20"/>
          <w:szCs w:val="20"/>
        </w:rPr>
        <w:t xml:space="preserve"> </w:t>
      </w:r>
      <w:r>
        <w:rPr>
          <w:rFonts w:cs="Times New Roman"/>
          <w:b w:val="false"/>
          <w:bCs w:val="false"/>
          <w:sz w:val="20"/>
          <w:szCs w:val="20"/>
        </w:rPr>
        <w:t xml:space="preserve">porasta broja zdravstvenih usluga kroz specijalističko- konzilijarnu zdravstvenu zaštitu, </w:t>
      </w:r>
      <w:r>
        <w:rPr>
          <w:rFonts w:cs="Times New Roman"/>
          <w:b w:val="false"/>
          <w:bCs w:val="false"/>
          <w:color w:val="000000"/>
          <w:sz w:val="20"/>
          <w:szCs w:val="20"/>
        </w:rPr>
        <w:t>porasta</w:t>
      </w:r>
      <w:r>
        <w:rPr>
          <w:rFonts w:cs="Times New Roman"/>
          <w:b w:val="false"/>
          <w:bCs w:val="false"/>
          <w:color w:val="C9211E"/>
          <w:sz w:val="20"/>
          <w:szCs w:val="20"/>
        </w:rPr>
        <w:t xml:space="preserve"> </w:t>
      </w:r>
      <w:r>
        <w:rPr>
          <w:rFonts w:cs="Times New Roman"/>
          <w:b w:val="false"/>
          <w:bCs w:val="false"/>
          <w:sz w:val="20"/>
          <w:szCs w:val="20"/>
        </w:rPr>
        <w:t>broja prijema pacijenata kroz dnevnu bolnicu, s ciljem pružanja zdravstvene zaštite većem broju pacijenata,</w:t>
      </w:r>
    </w:p>
    <w:p>
      <w:pPr>
        <w:pStyle w:val="Heading8"/>
        <w:spacing w:lineRule="auto" w:line="360"/>
        <w:jc w:val="left"/>
        <w:rPr>
          <w:sz w:val="20"/>
          <w:szCs w:val="20"/>
        </w:rPr>
      </w:pPr>
      <w:r>
        <w:rPr>
          <w:rFonts w:cs="Times New Roman"/>
          <w:b w:val="false"/>
          <w:bCs w:val="false"/>
          <w:sz w:val="20"/>
          <w:szCs w:val="20"/>
        </w:rPr>
        <w:t xml:space="preserve">- instaliranih kapaciteta-broja postelja, broja ordinacija i dijagnostičkih jedinica, broja stolaca/postelja u dnevnoj bolnici, broja liječnika specijalista, </w:t>
      </w:r>
    </w:p>
    <w:p>
      <w:pPr>
        <w:pStyle w:val="Heading8"/>
        <w:spacing w:lineRule="auto" w:line="360"/>
        <w:jc w:val="left"/>
        <w:rPr>
          <w:sz w:val="20"/>
          <w:szCs w:val="20"/>
        </w:rPr>
      </w:pPr>
      <w:r>
        <w:rPr>
          <w:rFonts w:cs="Times New Roman"/>
          <w:b w:val="false"/>
          <w:bCs w:val="false"/>
          <w:sz w:val="20"/>
          <w:szCs w:val="20"/>
        </w:rPr>
        <w:t xml:space="preserve">-broja liječnika specijalista i subspecijalista koji rade u zdravstvenoj  ustanovi kao i onih koji se angažiraju iz drugih suradnih ustanova, </w:t>
      </w:r>
    </w:p>
    <w:p>
      <w:pPr>
        <w:pStyle w:val="Normal"/>
        <w:spacing w:lineRule="auto" w:line="360"/>
        <w:jc w:val="left"/>
        <w:rPr>
          <w:sz w:val="20"/>
          <w:szCs w:val="20"/>
        </w:rPr>
      </w:pPr>
      <w:r>
        <w:rPr>
          <w:rFonts w:cs="Times New Roman"/>
          <w:b w:val="false"/>
          <w:bCs w:val="false"/>
          <w:sz w:val="20"/>
          <w:szCs w:val="20"/>
        </w:rPr>
        <w:t>- p</w:t>
      </w:r>
      <w:r>
        <w:rPr>
          <w:rFonts w:eastAsia="Calibri" w:cs="Times New Roman"/>
          <w:b w:val="false"/>
          <w:bCs w:val="false"/>
          <w:color w:themeColor="text1" w:val="000000"/>
          <w:kern w:val="0"/>
          <w:sz w:val="20"/>
          <w:szCs w:val="20"/>
          <w:lang w:val="hr-HR" w:eastAsia="en-US" w:bidi="ar-SA"/>
        </w:rPr>
        <w:t>ovećanje broja sistematskih pregleda hrvatskih branitelja,</w:t>
      </w:r>
    </w:p>
    <w:p>
      <w:pPr>
        <w:pStyle w:val="Heading8"/>
        <w:spacing w:lineRule="auto" w:line="360"/>
        <w:jc w:val="left"/>
        <w:rPr>
          <w:sz w:val="20"/>
          <w:szCs w:val="20"/>
        </w:rPr>
      </w:pPr>
      <w:r>
        <w:rPr>
          <w:rFonts w:eastAsia="Times New Roman" w:cs="Times New Roman"/>
          <w:b w:val="false"/>
          <w:bCs w:val="false"/>
          <w:sz w:val="20"/>
          <w:szCs w:val="20"/>
        </w:rPr>
        <w:t>Cilj 2. Cilj zdravstvene ustanove je smanjenje broja dana ležanja pacijenata na akutnim i kroničnim odjelima te povećanje popunjenosti svih odjela.</w:t>
      </w:r>
    </w:p>
    <w:p>
      <w:pPr>
        <w:pStyle w:val="Heading8"/>
        <w:jc w:val="left"/>
        <w:rPr>
          <w:sz w:val="22"/>
          <w:szCs w:val="22"/>
        </w:rPr>
      </w:pPr>
      <w:r>
        <w:rPr>
          <w:sz w:val="22"/>
          <w:szCs w:val="22"/>
        </w:rPr>
      </w:r>
    </w:p>
    <w:p>
      <w:pPr>
        <w:pStyle w:val="Heading8"/>
        <w:jc w:val="left"/>
        <w:rPr>
          <w:sz w:val="22"/>
          <w:szCs w:val="22"/>
        </w:rPr>
      </w:pPr>
      <w:r>
        <w:rPr>
          <w:rFonts w:cs="Times New Roman"/>
          <w:sz w:val="22"/>
          <w:szCs w:val="22"/>
        </w:rPr>
        <w:t>Pokazatelji učinka</w:t>
      </w:r>
    </w:p>
    <w:p>
      <w:pPr>
        <w:pStyle w:val="Normal"/>
        <w:jc w:val="left"/>
        <w:rPr>
          <w:sz w:val="22"/>
          <w:szCs w:val="22"/>
        </w:rPr>
      </w:pPr>
      <w:r>
        <w:rPr>
          <w:sz w:val="22"/>
          <w:szCs w:val="22"/>
        </w:rPr>
      </w:r>
    </w:p>
    <w:tbl>
      <w:tblPr>
        <w:tblW w:w="9295" w:type="dxa"/>
        <w:jc w:val="left"/>
        <w:tblInd w:w="242" w:type="dxa"/>
        <w:tblLayout w:type="fixed"/>
        <w:tblCellMar>
          <w:top w:w="57" w:type="dxa"/>
          <w:left w:w="57" w:type="dxa"/>
          <w:bottom w:w="57" w:type="dxa"/>
          <w:right w:w="57" w:type="dxa"/>
        </w:tblCellMar>
      </w:tblPr>
      <w:tblGrid>
        <w:gridCol w:w="1819"/>
        <w:gridCol w:w="1693"/>
        <w:gridCol w:w="1134"/>
        <w:gridCol w:w="1190"/>
        <w:gridCol w:w="1146"/>
        <w:gridCol w:w="1126"/>
        <w:gridCol w:w="1186"/>
      </w:tblGrid>
      <w:tr>
        <w:trPr>
          <w:cantSplit w:val="true"/>
        </w:trPr>
        <w:tc>
          <w:tcPr>
            <w:tcW w:w="1819" w:type="dxa"/>
            <w:tcBorders>
              <w:top w:val="single" w:sz="4" w:space="0" w:color="000000"/>
              <w:left w:val="single" w:sz="4" w:space="0" w:color="000000"/>
              <w:bottom w:val="single" w:sz="4" w:space="0" w:color="000000"/>
              <w:right w:val="single" w:sz="4" w:space="0" w:color="000000"/>
            </w:tcBorders>
            <w:shd w:fill="B2B2B2" w:val="clear"/>
            <w:vAlign w:val="center"/>
          </w:tcPr>
          <w:p>
            <w:pPr>
              <w:pStyle w:val="Normal"/>
              <w:widowControl w:val="false"/>
              <w:spacing w:before="0" w:after="120"/>
              <w:jc w:val="center"/>
              <w:rPr>
                <w:sz w:val="18"/>
                <w:szCs w:val="18"/>
              </w:rPr>
            </w:pPr>
            <w:r>
              <w:rPr>
                <w:sz w:val="18"/>
                <w:szCs w:val="18"/>
                <w:shd w:fill="auto" w:val="clear"/>
                <w:lang w:eastAsia="en-US" w:bidi="ar-SA"/>
              </w:rPr>
              <w:t xml:space="preserve">Pokazatelj </w:t>
            </w:r>
            <w:r>
              <w:rPr>
                <w:rFonts w:eastAsia="Times New Roman"/>
                <w:bCs/>
                <w:color w:val="000000"/>
                <w:kern w:val="0"/>
                <w:sz w:val="18"/>
                <w:szCs w:val="18"/>
                <w:shd w:fill="auto" w:val="clear"/>
                <w:lang w:val="sl-SI" w:eastAsia="hr-HR" w:bidi="ar-SA"/>
              </w:rPr>
              <w:t>učinka</w:t>
            </w:r>
          </w:p>
        </w:tc>
        <w:tc>
          <w:tcPr>
            <w:tcW w:w="1693"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vAlign w:val="center"/>
          </w:tcPr>
          <w:p>
            <w:pPr>
              <w:pStyle w:val="CellHeader"/>
              <w:widowControl w:val="false"/>
              <w:spacing w:before="0" w:after="120"/>
              <w:jc w:val="center"/>
              <w:rPr>
                <w:sz w:val="18"/>
                <w:szCs w:val="18"/>
                <w:highlight w:val="none"/>
                <w:shd w:fill="auto" w:val="clear"/>
                <w:lang w:bidi="ar-SA"/>
              </w:rPr>
            </w:pPr>
            <w:r>
              <w:rPr>
                <w:sz w:val="18"/>
                <w:szCs w:val="18"/>
                <w:shd w:fill="auto" w:val="clear"/>
                <w:lang w:bidi="ar-SA"/>
              </w:rPr>
              <w:t>Definicija</w:t>
            </w:r>
          </w:p>
        </w:tc>
        <w:tc>
          <w:tcPr>
            <w:tcW w:w="1134"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vAlign w:val="center"/>
          </w:tcPr>
          <w:p>
            <w:pPr>
              <w:pStyle w:val="CellHeader"/>
              <w:widowControl w:val="false"/>
              <w:spacing w:before="0" w:after="120"/>
              <w:jc w:val="center"/>
              <w:rPr>
                <w:sz w:val="18"/>
                <w:szCs w:val="18"/>
                <w:highlight w:val="none"/>
                <w:shd w:fill="auto" w:val="clear"/>
                <w:lang w:bidi="ar-SA"/>
              </w:rPr>
            </w:pPr>
            <w:r>
              <w:rPr>
                <w:sz w:val="18"/>
                <w:szCs w:val="18"/>
                <w:shd w:fill="auto" w:val="clear"/>
                <w:lang w:bidi="ar-SA"/>
              </w:rPr>
              <w:t>Jedinica</w:t>
            </w:r>
          </w:p>
        </w:tc>
        <w:tc>
          <w:tcPr>
            <w:tcW w:w="1190"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vAlign w:val="center"/>
          </w:tcPr>
          <w:p>
            <w:pPr>
              <w:pStyle w:val="CellHeader"/>
              <w:widowControl w:val="false"/>
              <w:jc w:val="center"/>
              <w:rPr>
                <w:sz w:val="18"/>
                <w:szCs w:val="18"/>
                <w:highlight w:val="none"/>
                <w:shd w:fill="auto" w:val="clear"/>
                <w:lang w:bidi="ar-SA"/>
              </w:rPr>
            </w:pPr>
            <w:r>
              <w:rPr>
                <w:sz w:val="18"/>
                <w:szCs w:val="18"/>
                <w:shd w:fill="auto" w:val="clear"/>
                <w:lang w:bidi="ar-SA"/>
              </w:rPr>
              <w:t>Polazna vrijednost</w:t>
            </w:r>
          </w:p>
          <w:p>
            <w:pPr>
              <w:pStyle w:val="Normal"/>
              <w:widowControl w:val="false"/>
              <w:spacing w:before="0" w:after="120"/>
              <w:jc w:val="center"/>
              <w:rPr>
                <w:rFonts w:cs="Times New Roman"/>
                <w:sz w:val="18"/>
                <w:szCs w:val="18"/>
                <w:highlight w:val="none"/>
                <w:shd w:fill="auto" w:val="clear"/>
                <w:lang w:bidi="ar-SA"/>
              </w:rPr>
            </w:pPr>
            <w:r>
              <w:rPr>
                <w:rFonts w:cs="Times New Roman"/>
                <w:sz w:val="18"/>
                <w:szCs w:val="18"/>
                <w:shd w:fill="auto" w:val="clear"/>
                <w:lang w:bidi="ar-SA"/>
              </w:rPr>
              <w:t>(31.12.23.)</w:t>
            </w:r>
          </w:p>
        </w:tc>
        <w:tc>
          <w:tcPr>
            <w:tcW w:w="1146"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vAlign w:val="center"/>
          </w:tcPr>
          <w:p>
            <w:pPr>
              <w:pStyle w:val="CellHeader"/>
              <w:widowControl w:val="false"/>
              <w:spacing w:before="0" w:after="120"/>
              <w:jc w:val="center"/>
              <w:rPr>
                <w:sz w:val="18"/>
                <w:szCs w:val="18"/>
                <w:highlight w:val="none"/>
                <w:shd w:fill="auto" w:val="clear"/>
                <w:lang w:bidi="ar-SA"/>
              </w:rPr>
            </w:pPr>
            <w:r>
              <w:rPr>
                <w:sz w:val="18"/>
                <w:szCs w:val="18"/>
                <w:shd w:fill="auto" w:val="clear"/>
                <w:lang w:bidi="ar-SA"/>
              </w:rPr>
              <w:t>Izvor podataka</w:t>
            </w:r>
          </w:p>
        </w:tc>
        <w:tc>
          <w:tcPr>
            <w:tcW w:w="1126" w:type="dxa"/>
            <w:tcBorders>
              <w:top w:val="single" w:sz="4" w:space="0" w:color="000000"/>
              <w:left w:val="single" w:sz="4" w:space="0" w:color="000000"/>
              <w:bottom w:val="single" w:sz="4" w:space="0" w:color="000000"/>
            </w:tcBorders>
            <w:shd w:fill="B2B2B2" w:val="clear"/>
            <w:tcMar>
              <w:top w:w="55" w:type="dxa"/>
              <w:left w:w="55" w:type="dxa"/>
              <w:bottom w:w="55" w:type="dxa"/>
              <w:right w:w="55" w:type="dxa"/>
            </w:tcMar>
            <w:vAlign w:val="center"/>
          </w:tcPr>
          <w:p>
            <w:pPr>
              <w:pStyle w:val="CellHeader"/>
              <w:widowControl w:val="false"/>
              <w:spacing w:before="0" w:after="120"/>
              <w:jc w:val="center"/>
              <w:rPr>
                <w:sz w:val="18"/>
                <w:szCs w:val="18"/>
                <w:highlight w:val="none"/>
                <w:shd w:fill="auto" w:val="clear"/>
                <w:lang w:bidi="ar-SA"/>
              </w:rPr>
            </w:pPr>
            <w:r>
              <w:rPr>
                <w:sz w:val="18"/>
                <w:szCs w:val="18"/>
                <w:shd w:fill="auto" w:val="clear"/>
                <w:lang w:bidi="ar-SA"/>
              </w:rPr>
              <w:t>Ciljana vrijednost (2025.)</w:t>
            </w:r>
          </w:p>
        </w:tc>
        <w:tc>
          <w:tcPr>
            <w:tcW w:w="1186" w:type="dxa"/>
            <w:tcBorders>
              <w:top w:val="single" w:sz="4" w:space="0" w:color="000000"/>
              <w:left w:val="single" w:sz="4" w:space="0" w:color="000000"/>
              <w:bottom w:val="single" w:sz="4" w:space="0" w:color="000000"/>
              <w:right w:val="single" w:sz="4" w:space="0" w:color="000000"/>
            </w:tcBorders>
            <w:shd w:fill="B2B2B2" w:val="clear"/>
            <w:tcMar>
              <w:top w:w="55" w:type="dxa"/>
              <w:left w:w="55" w:type="dxa"/>
              <w:bottom w:w="55" w:type="dxa"/>
              <w:right w:w="55" w:type="dxa"/>
            </w:tcMar>
            <w:vAlign w:val="center"/>
          </w:tcPr>
          <w:p>
            <w:pPr>
              <w:pStyle w:val="BodyText"/>
              <w:widowControl w:val="false"/>
              <w:spacing w:before="0" w:after="140"/>
              <w:jc w:val="center"/>
              <w:rPr>
                <w:sz w:val="18"/>
                <w:szCs w:val="18"/>
                <w:highlight w:val="none"/>
                <w:shd w:fill="auto" w:val="clear"/>
              </w:rPr>
            </w:pPr>
            <w:r>
              <w:rPr>
                <w:sz w:val="18"/>
                <w:szCs w:val="18"/>
                <w:shd w:fill="auto" w:val="clear"/>
              </w:rPr>
              <w:t xml:space="preserve">Ostvareno na dan </w:t>
            </w:r>
            <w:r>
              <w:rPr>
                <w:sz w:val="18"/>
                <w:szCs w:val="18"/>
                <w:shd w:fill="auto" w:val="clear"/>
                <w:lang w:bidi="ar-SA"/>
              </w:rPr>
              <w:t>31.12.25.</w:t>
            </w:r>
          </w:p>
        </w:tc>
      </w:tr>
      <w:tr>
        <w:trPr>
          <w:trHeight w:val="1267" w:hRule="atLeast"/>
        </w:trPr>
        <w:tc>
          <w:tcPr>
            <w:tcW w:w="1819"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Broj slučajeva u specijalističko- konzilijarnim ambulantama</w:t>
            </w:r>
          </w:p>
        </w:tc>
        <w:tc>
          <w:tcPr>
            <w:tcW w:w="1693"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Povećanje broja slučajeva u specijalističko- konzilijarnim ambulantama</w:t>
            </w:r>
          </w:p>
        </w:tc>
        <w:tc>
          <w:tcPr>
            <w:tcW w:w="1134"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Broj slučajeva</w:t>
            </w:r>
          </w:p>
        </w:tc>
        <w:tc>
          <w:tcPr>
            <w:tcW w:w="1190"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40.232</w:t>
            </w:r>
          </w:p>
        </w:tc>
        <w:tc>
          <w:tcPr>
            <w:tcW w:w="1146"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sz w:val="18"/>
                <w:szCs w:val="18"/>
              </w:rPr>
            </w:pPr>
            <w:r>
              <w:rPr>
                <w:rFonts w:cs="Times New Roman"/>
                <w:kern w:val="0"/>
                <w:sz w:val="18"/>
                <w:szCs w:val="18"/>
                <w:lang w:bidi="ar-SA"/>
              </w:rPr>
              <w:t>BIS OVB</w:t>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HP KNIN</w:t>
            </w:r>
          </w:p>
        </w:tc>
        <w:tc>
          <w:tcPr>
            <w:tcW w:w="11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42.000</w:t>
            </w:r>
          </w:p>
        </w:tc>
        <w:tc>
          <w:tcPr>
            <w:tcW w:w="118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42.542</w:t>
            </w:r>
          </w:p>
        </w:tc>
      </w:tr>
      <w:tr>
        <w:trPr/>
        <w:tc>
          <w:tcPr>
            <w:tcW w:w="1819"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lineRule="auto" w:line="240" w:before="0" w:after="6"/>
              <w:jc w:val="center"/>
              <w:rPr>
                <w:rFonts w:cs="Times New Roman"/>
                <w:kern w:val="0"/>
                <w:sz w:val="18"/>
                <w:szCs w:val="18"/>
                <w:lang w:bidi="ar-SA"/>
              </w:rPr>
            </w:pPr>
            <w:r>
              <w:rPr>
                <w:rFonts w:cs="Times New Roman"/>
                <w:kern w:val="0"/>
                <w:sz w:val="18"/>
                <w:szCs w:val="18"/>
                <w:lang w:bidi="ar-SA"/>
              </w:rPr>
              <w:t>Broj slučajeva u</w:t>
            </w:r>
          </w:p>
          <w:p>
            <w:pPr>
              <w:pStyle w:val="CellColumn"/>
              <w:widowControl w:val="false"/>
              <w:spacing w:lineRule="auto" w:line="240" w:before="0" w:after="6"/>
              <w:jc w:val="center"/>
              <w:rPr>
                <w:rFonts w:cs="Times New Roman"/>
                <w:kern w:val="0"/>
                <w:sz w:val="18"/>
                <w:szCs w:val="18"/>
                <w:lang w:bidi="ar-SA"/>
              </w:rPr>
            </w:pPr>
            <w:r>
              <w:rPr>
                <w:rFonts w:cs="Times New Roman"/>
                <w:kern w:val="0"/>
                <w:sz w:val="18"/>
                <w:szCs w:val="18"/>
                <w:lang w:bidi="ar-SA"/>
              </w:rPr>
              <w:t>dnevnim bolnicama</w:t>
            </w:r>
          </w:p>
        </w:tc>
        <w:tc>
          <w:tcPr>
            <w:tcW w:w="1693"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Povećanje broja slučajeva u dnevnim bolnicama</w:t>
            </w:r>
          </w:p>
        </w:tc>
        <w:tc>
          <w:tcPr>
            <w:tcW w:w="1134"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Broj slučajeva</w:t>
            </w:r>
          </w:p>
        </w:tc>
        <w:tc>
          <w:tcPr>
            <w:tcW w:w="1190"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t>1.968</w:t>
            </w:r>
          </w:p>
        </w:tc>
        <w:tc>
          <w:tcPr>
            <w:tcW w:w="1146"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kern w:val="0"/>
                <w:sz w:val="18"/>
                <w:szCs w:val="18"/>
                <w:lang w:bidi="ar-SA"/>
              </w:rPr>
            </w:pPr>
            <w:r>
              <w:rPr>
                <w:rFonts w:cs="Times New Roman"/>
                <w:kern w:val="0"/>
                <w:sz w:val="18"/>
                <w:szCs w:val="18"/>
                <w:lang w:bidi="ar-SA"/>
              </w:rPr>
              <w:t>BIS OVB</w:t>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HP KNIN</w:t>
            </w:r>
          </w:p>
        </w:tc>
        <w:tc>
          <w:tcPr>
            <w:tcW w:w="11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2.200</w:t>
            </w:r>
          </w:p>
        </w:tc>
        <w:tc>
          <w:tcPr>
            <w:tcW w:w="118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2.013</w:t>
            </w:r>
          </w:p>
        </w:tc>
      </w:tr>
      <w:tr>
        <w:trPr/>
        <w:tc>
          <w:tcPr>
            <w:tcW w:w="1819"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suppressAutoHyphens w:val="true"/>
              <w:spacing w:lineRule="auto" w:line="240" w:before="0" w:after="0"/>
              <w:jc w:val="center"/>
              <w:rPr>
                <w:sz w:val="18"/>
                <w:szCs w:val="18"/>
              </w:rPr>
            </w:pPr>
            <w:r>
              <w:rPr>
                <w:rFonts w:eastAsia="Calibri" w:cs="Times New Roman"/>
                <w:color w:val="000000"/>
                <w:kern w:val="0"/>
                <w:sz w:val="18"/>
                <w:szCs w:val="18"/>
                <w:shd w:fill="auto" w:val="clear"/>
                <w:lang w:val="hr-HR" w:eastAsia="en-US" w:bidi="ar-SA"/>
              </w:rPr>
              <w:t>Broj preventivnih sistematskih pregleda hrvatskih branitelja i članova njihovih obitelji</w:t>
            </w:r>
          </w:p>
        </w:tc>
        <w:tc>
          <w:tcPr>
            <w:tcW w:w="1693"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suppressAutoHyphens w:val="true"/>
              <w:spacing w:lineRule="auto" w:line="240" w:before="0" w:after="0"/>
              <w:jc w:val="center"/>
              <w:rPr>
                <w:sz w:val="18"/>
                <w:szCs w:val="18"/>
              </w:rPr>
            </w:pPr>
            <w:r>
              <w:rPr>
                <w:rFonts w:eastAsia="Calibri" w:cs="Times New Roman"/>
                <w:color w:val="000000"/>
                <w:kern w:val="0"/>
                <w:sz w:val="18"/>
                <w:szCs w:val="18"/>
                <w:shd w:fill="auto" w:val="clear"/>
                <w:lang w:val="hr-HR" w:eastAsia="en-US" w:bidi="ar-SA"/>
              </w:rPr>
              <w:t>Povećanje broja sistematskih pregleda hrvatskih branitelja i članova njihovih obitelji</w:t>
            </w:r>
          </w:p>
        </w:tc>
        <w:tc>
          <w:tcPr>
            <w:tcW w:w="1134"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pacing w:before="0" w:after="120"/>
              <w:jc w:val="center"/>
              <w:rPr>
                <w:rFonts w:eastAsia="Calibri" w:cs="Times New Roman"/>
                <w:color w:val="000000"/>
                <w:kern w:val="0"/>
                <w:sz w:val="18"/>
                <w:szCs w:val="18"/>
                <w:shd w:fill="auto" w:val="clear"/>
                <w:lang w:val="hr-HR" w:eastAsia="en-US" w:bidi="ar-SA"/>
              </w:rPr>
            </w:pPr>
            <w:r>
              <w:rPr>
                <w:rFonts w:eastAsia="Calibri" w:cs="Times New Roman"/>
                <w:color w:val="000000"/>
                <w:kern w:val="0"/>
                <w:sz w:val="18"/>
                <w:szCs w:val="18"/>
                <w:shd w:fill="auto" w:val="clear"/>
                <w:lang w:val="hr-HR" w:eastAsia="en-US" w:bidi="ar-SA"/>
              </w:rPr>
              <w:t>Broj slučajeva</w:t>
            </w:r>
          </w:p>
        </w:tc>
        <w:tc>
          <w:tcPr>
            <w:tcW w:w="1190"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pacing w:before="0" w:after="120"/>
              <w:jc w:val="center"/>
              <w:rPr>
                <w:rFonts w:cs="Times New Roman"/>
                <w:sz w:val="18"/>
                <w:szCs w:val="18"/>
                <w:shd w:fill="auto" w:val="clear"/>
              </w:rPr>
            </w:pPr>
            <w:r>
              <w:rPr>
                <w:rFonts w:cs="Times New Roman"/>
                <w:sz w:val="18"/>
                <w:szCs w:val="18"/>
                <w:shd w:fill="auto" w:val="clear"/>
              </w:rPr>
              <w:t>1.876</w:t>
            </w:r>
          </w:p>
        </w:tc>
        <w:tc>
          <w:tcPr>
            <w:tcW w:w="1146"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shd w:fill="auto" w:val="clear"/>
                <w:lang w:bidi="ar-SA"/>
              </w:rPr>
            </w:pPr>
            <w:r>
              <w:rPr>
                <w:rFonts w:cs="Times New Roman"/>
                <w:kern w:val="0"/>
                <w:sz w:val="18"/>
                <w:szCs w:val="18"/>
                <w:shd w:fill="auto" w:val="clear"/>
                <w:lang w:bidi="ar-SA"/>
              </w:rPr>
              <w:t>BIS OVB</w:t>
            </w:r>
          </w:p>
          <w:p>
            <w:pPr>
              <w:pStyle w:val="CellColumn"/>
              <w:widowControl w:val="false"/>
              <w:spacing w:before="0" w:after="120"/>
              <w:jc w:val="center"/>
              <w:rPr>
                <w:rFonts w:cs="Times New Roman"/>
                <w:sz w:val="18"/>
                <w:szCs w:val="18"/>
                <w:shd w:fill="auto" w:val="clear"/>
              </w:rPr>
            </w:pPr>
            <w:r>
              <w:rPr>
                <w:rFonts w:cs="Times New Roman"/>
                <w:sz w:val="18"/>
                <w:szCs w:val="18"/>
                <w:shd w:fill="auto" w:val="clear"/>
              </w:rPr>
              <w:t>HP KNIN</w:t>
            </w:r>
          </w:p>
        </w:tc>
        <w:tc>
          <w:tcPr>
            <w:tcW w:w="11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t>2.000</w:t>
            </w:r>
          </w:p>
        </w:tc>
        <w:tc>
          <w:tcPr>
            <w:tcW w:w="118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t>2.219</w:t>
            </w:r>
          </w:p>
        </w:tc>
      </w:tr>
      <w:tr>
        <w:trPr/>
        <w:tc>
          <w:tcPr>
            <w:tcW w:w="1819"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Trajanje akutnog liječenja pacijenata</w:t>
            </w:r>
          </w:p>
        </w:tc>
        <w:tc>
          <w:tcPr>
            <w:tcW w:w="1693"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Smanjenje prosječnog trajanja akutnog liječenja, racionalizacija troškova liječenja</w:t>
            </w:r>
          </w:p>
        </w:tc>
        <w:tc>
          <w:tcPr>
            <w:tcW w:w="1134"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Broj dana</w:t>
            </w:r>
          </w:p>
        </w:tc>
        <w:tc>
          <w:tcPr>
            <w:tcW w:w="1190"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5,68</w:t>
            </w:r>
          </w:p>
        </w:tc>
        <w:tc>
          <w:tcPr>
            <w:tcW w:w="1146"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napToGrid w:val="false"/>
              <w:spacing w:before="0" w:after="120"/>
              <w:jc w:val="center"/>
              <w:rPr>
                <w:kern w:val="0"/>
                <w:sz w:val="18"/>
                <w:szCs w:val="18"/>
                <w:lang w:bidi="ar-SA"/>
              </w:rPr>
            </w:pPr>
            <w:r>
              <w:rPr>
                <w:kern w:val="0"/>
                <w:sz w:val="18"/>
                <w:szCs w:val="18"/>
                <w:lang w:bidi="ar-SA"/>
              </w:rPr>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BIS OVB</w:t>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HP KNIN</w:t>
            </w:r>
          </w:p>
        </w:tc>
        <w:tc>
          <w:tcPr>
            <w:tcW w:w="11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5,65</w:t>
            </w:r>
          </w:p>
        </w:tc>
        <w:tc>
          <w:tcPr>
            <w:tcW w:w="118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6,63</w:t>
            </w:r>
          </w:p>
        </w:tc>
      </w:tr>
      <w:tr>
        <w:trPr>
          <w:trHeight w:val="796" w:hRule="atLeast"/>
        </w:trPr>
        <w:tc>
          <w:tcPr>
            <w:tcW w:w="1819"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Trajanje kroničnog liječenja pacijenata</w:t>
            </w:r>
          </w:p>
        </w:tc>
        <w:tc>
          <w:tcPr>
            <w:tcW w:w="1693"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Smanjenje prosječnog trajanja kroničnog liječenja, racionalizacija troškova liječenja</w:t>
            </w:r>
          </w:p>
        </w:tc>
        <w:tc>
          <w:tcPr>
            <w:tcW w:w="1134"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Broj dana</w:t>
            </w:r>
          </w:p>
        </w:tc>
        <w:tc>
          <w:tcPr>
            <w:tcW w:w="1190" w:type="dxa"/>
            <w:tcBorders>
              <w:left w:val="single" w:sz="4" w:space="0" w:color="000000"/>
              <w:bottom w:val="single" w:sz="4" w:space="0" w:color="000000"/>
            </w:tcBorders>
            <w:tcMar>
              <w:top w:w="55" w:type="dxa"/>
              <w:left w:w="55" w:type="dxa"/>
              <w:bottom w:w="55" w:type="dxa"/>
              <w:right w:w="55" w:type="dxa"/>
            </w:tcMar>
            <w:vAlign w:val="center"/>
          </w:tcPr>
          <w:p>
            <w:pPr>
              <w:pStyle w:val="Normal"/>
              <w:widowControl w:val="false"/>
              <w:snapToGrid w:val="false"/>
              <w:jc w:val="center"/>
              <w:rPr>
                <w:rFonts w:cs="Times New Roman"/>
                <w:sz w:val="18"/>
                <w:szCs w:val="18"/>
              </w:rPr>
            </w:pPr>
            <w:r>
              <w:rPr>
                <w:rFonts w:cs="Times New Roman"/>
                <w:sz w:val="18"/>
                <w:szCs w:val="18"/>
              </w:rPr>
            </w:r>
          </w:p>
          <w:p>
            <w:pPr>
              <w:pStyle w:val="Normal"/>
              <w:widowControl w:val="false"/>
              <w:spacing w:before="0" w:after="120"/>
              <w:jc w:val="center"/>
              <w:rPr>
                <w:rFonts w:cs="Times New Roman"/>
                <w:sz w:val="18"/>
                <w:szCs w:val="18"/>
              </w:rPr>
            </w:pPr>
            <w:r>
              <w:rPr>
                <w:rFonts w:cs="Times New Roman"/>
                <w:sz w:val="18"/>
                <w:szCs w:val="18"/>
              </w:rPr>
              <w:t>32,59</w:t>
            </w:r>
          </w:p>
        </w:tc>
        <w:tc>
          <w:tcPr>
            <w:tcW w:w="1146" w:type="dxa"/>
            <w:tcBorders>
              <w:left w:val="single" w:sz="4" w:space="0" w:color="000000"/>
              <w:bottom w:val="single" w:sz="4" w:space="0" w:color="000000"/>
            </w:tcBorders>
            <w:tcMar>
              <w:top w:w="55" w:type="dxa"/>
              <w:left w:w="55" w:type="dxa"/>
              <w:bottom w:w="55" w:type="dxa"/>
              <w:right w:w="55" w:type="dxa"/>
            </w:tcMar>
            <w:vAlign w:val="center"/>
          </w:tcPr>
          <w:p>
            <w:pPr>
              <w:pStyle w:val="CellColumn"/>
              <w:widowControl w:val="false"/>
              <w:snapToGrid w:val="false"/>
              <w:spacing w:before="0" w:after="120"/>
              <w:jc w:val="center"/>
              <w:rPr>
                <w:kern w:val="0"/>
                <w:sz w:val="18"/>
                <w:szCs w:val="18"/>
                <w:lang w:bidi="ar-SA"/>
              </w:rPr>
            </w:pPr>
            <w:r>
              <w:rPr>
                <w:kern w:val="0"/>
                <w:sz w:val="18"/>
                <w:szCs w:val="18"/>
                <w:lang w:bidi="ar-SA"/>
              </w:rPr>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BIS OVB</w:t>
            </w:r>
          </w:p>
          <w:p>
            <w:pPr>
              <w:pStyle w:val="CellColumn"/>
              <w:widowControl w:val="false"/>
              <w:spacing w:before="0" w:after="120"/>
              <w:jc w:val="center"/>
              <w:rPr>
                <w:rFonts w:cs="Times New Roman"/>
                <w:kern w:val="0"/>
                <w:sz w:val="18"/>
                <w:szCs w:val="18"/>
                <w:lang w:bidi="ar-SA"/>
              </w:rPr>
            </w:pPr>
            <w:r>
              <w:rPr>
                <w:rFonts w:cs="Times New Roman"/>
                <w:kern w:val="0"/>
                <w:sz w:val="18"/>
                <w:szCs w:val="18"/>
                <w:lang w:bidi="ar-SA"/>
              </w:rPr>
              <w:t>HP KNIN</w:t>
            </w:r>
          </w:p>
        </w:tc>
        <w:tc>
          <w:tcPr>
            <w:tcW w:w="1126" w:type="dxa"/>
            <w:tcBorders>
              <w:left w:val="single" w:sz="4" w:space="0" w:color="000000"/>
              <w:bottom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32,30</w:t>
            </w:r>
          </w:p>
        </w:tc>
        <w:tc>
          <w:tcPr>
            <w:tcW w:w="118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TableContents"/>
              <w:widowControl w:val="false"/>
              <w:snapToGrid w:val="false"/>
              <w:jc w:val="center"/>
              <w:rPr>
                <w:sz w:val="18"/>
                <w:szCs w:val="18"/>
              </w:rPr>
            </w:pPr>
            <w:r>
              <w:rPr>
                <w:sz w:val="18"/>
                <w:szCs w:val="18"/>
              </w:rPr>
            </w:r>
          </w:p>
          <w:p>
            <w:pPr>
              <w:pStyle w:val="TableContents"/>
              <w:widowControl w:val="false"/>
              <w:spacing w:before="0" w:after="120"/>
              <w:jc w:val="center"/>
              <w:rPr>
                <w:sz w:val="18"/>
                <w:szCs w:val="18"/>
              </w:rPr>
            </w:pPr>
            <w:r>
              <w:rPr>
                <w:sz w:val="18"/>
                <w:szCs w:val="18"/>
              </w:rPr>
              <w:t>31,58</w:t>
            </w:r>
          </w:p>
        </w:tc>
      </w:tr>
    </w:tbl>
    <w:p>
      <w:pPr>
        <w:pStyle w:val="Normal"/>
        <w:numPr>
          <w:ilvl w:val="0"/>
          <w:numId w:val="0"/>
        </w:numPr>
        <w:spacing w:lineRule="auto" w:line="360"/>
        <w:ind w:hanging="0" w:left="0" w:right="0"/>
        <w:rPr>
          <w:rFonts w:cs="Times New Roman"/>
          <w:color w:val="auto"/>
        </w:rPr>
      </w:pPr>
      <w:r>
        <w:rPr>
          <w:rFonts w:cs="Times New Roman"/>
          <w:color w:val="auto"/>
          <w:sz w:val="22"/>
          <w:szCs w:val="22"/>
        </w:rPr>
        <w:t>Kao što je vidljivo iz gore navedenih pokazatelja Bolnica ima konstantan napredak u broju i kvaliteti pruženih usluga, povećanje broja obrađenih pacijenata u specijalističko-konzilijarnoj zdravstvenoj djelatnosti, te zadovoljavajuće pokazatelje kvalitete i svih drugih mjerljivih parametara.</w:t>
      </w:r>
    </w:p>
    <w:p>
      <w:pPr>
        <w:pStyle w:val="Normal"/>
        <w:spacing w:lineRule="auto" w:line="276"/>
        <w:jc w:val="both"/>
        <w:rPr>
          <w:sz w:val="24"/>
          <w:szCs w:val="24"/>
        </w:rPr>
      </w:pPr>
      <w:r>
        <w:rPr>
          <w:sz w:val="24"/>
          <w:szCs w:val="24"/>
        </w:rPr>
      </w:r>
    </w:p>
    <w:p>
      <w:pPr>
        <w:pStyle w:val="Normal"/>
        <w:spacing w:lineRule="auto" w:line="276"/>
        <w:jc w:val="both"/>
        <w:rPr>
          <w:sz w:val="24"/>
          <w:szCs w:val="24"/>
        </w:rPr>
      </w:pPr>
      <w:r>
        <w:rPr>
          <w:b/>
          <w:bCs/>
          <w:sz w:val="24"/>
          <w:szCs w:val="24"/>
        </w:rPr>
        <w:t>POSEBNI IZVJEŠTAJI</w:t>
      </w:r>
    </w:p>
    <w:p>
      <w:pPr>
        <w:pStyle w:val="Normal"/>
        <w:spacing w:lineRule="auto" w:line="276"/>
        <w:jc w:val="both"/>
        <w:rPr/>
      </w:pPr>
      <w:r>
        <w:rPr/>
      </w:r>
    </w:p>
    <w:p>
      <w:pPr>
        <w:pStyle w:val="Normal"/>
        <w:spacing w:lineRule="auto" w:line="276"/>
        <w:jc w:val="both"/>
        <w:rPr>
          <w:sz w:val="22"/>
          <w:szCs w:val="22"/>
        </w:rPr>
      </w:pPr>
      <w:r>
        <w:rPr>
          <w:b/>
          <w:bCs/>
          <w:i/>
          <w:iCs/>
          <w:sz w:val="22"/>
          <w:szCs w:val="22"/>
        </w:rPr>
        <w:t>Izvještaj o zaduživanju na domaćem i stranom tržištu novca i kapitala</w:t>
      </w:r>
    </w:p>
    <w:p>
      <w:pPr>
        <w:pStyle w:val="Normal"/>
        <w:spacing w:lineRule="auto" w:line="276"/>
        <w:jc w:val="both"/>
        <w:rPr>
          <w:sz w:val="28"/>
          <w:szCs w:val="28"/>
        </w:rPr>
      </w:pPr>
      <w:r>
        <w:rPr>
          <w:sz w:val="28"/>
          <w:szCs w:val="28"/>
        </w:rPr>
      </w:r>
    </w:p>
    <w:p>
      <w:pPr>
        <w:pStyle w:val="Normal"/>
        <w:spacing w:lineRule="auto" w:line="276"/>
        <w:jc w:val="both"/>
        <w:rPr>
          <w:sz w:val="22"/>
          <w:szCs w:val="22"/>
        </w:rPr>
      </w:pPr>
      <w:r>
        <w:rPr>
          <w:sz w:val="22"/>
          <w:szCs w:val="22"/>
        </w:rPr>
        <w:t>U izvještajnom razdoblju I.-XII. 2025. godine, nije bilo zaduživanja na domaćem i stranom tržištu novca i kapitala.</w:t>
      </w:r>
    </w:p>
    <w:p>
      <w:pPr>
        <w:pStyle w:val="Normal"/>
        <w:spacing w:lineRule="auto" w:line="276"/>
        <w:jc w:val="both"/>
        <w:rPr/>
      </w:pPr>
      <w:r>
        <w:rPr/>
      </w:r>
    </w:p>
    <w:p>
      <w:pPr>
        <w:pStyle w:val="Normal"/>
        <w:spacing w:lineRule="auto" w:line="276"/>
        <w:jc w:val="both"/>
        <w:rPr>
          <w:sz w:val="22"/>
          <w:szCs w:val="22"/>
        </w:rPr>
      </w:pPr>
      <w:r>
        <w:rPr>
          <w:b/>
          <w:bCs/>
          <w:i/>
          <w:iCs/>
          <w:sz w:val="22"/>
          <w:szCs w:val="22"/>
        </w:rPr>
        <w:t>Izvještaj o korištenju sredstava fondova Europske unije</w:t>
      </w:r>
    </w:p>
    <w:p>
      <w:pPr>
        <w:pStyle w:val="Normal"/>
        <w:spacing w:lineRule="auto" w:line="276"/>
        <w:jc w:val="both"/>
        <w:rPr/>
      </w:pPr>
      <w:r>
        <w:rPr/>
      </w:r>
    </w:p>
    <w:p>
      <w:pPr>
        <w:pStyle w:val="Normal"/>
        <w:spacing w:lineRule="auto" w:line="276"/>
        <w:jc w:val="both"/>
        <w:rPr>
          <w:sz w:val="22"/>
          <w:szCs w:val="22"/>
        </w:rPr>
      </w:pPr>
      <w:r>
        <w:rPr>
          <w:sz w:val="22"/>
          <w:szCs w:val="22"/>
        </w:rPr>
        <w:t>U izvještajnom razdoblju I.-XII. 2025. godine nema ostvarenih i evidentiranih prihoda i primitaka te rashoda i izdataka iz fondova Europske unije po fondovima Europske unije, nema ni stanja potraživanja iz fondova Europske unije kao ni stanja obveza za primljene predujmove iz fondova Europske unije na kraju proračunske godine.</w:t>
      </w:r>
    </w:p>
    <w:p>
      <w:pPr>
        <w:pStyle w:val="Normal"/>
        <w:spacing w:lineRule="auto" w:line="276"/>
        <w:jc w:val="both"/>
        <w:rPr>
          <w:b/>
          <w:bCs/>
          <w:i/>
          <w:i/>
          <w:iCs/>
          <w:color w:val="FF0000"/>
          <w:sz w:val="28"/>
          <w:szCs w:val="28"/>
          <w:highlight w:val="yellow"/>
        </w:rPr>
      </w:pPr>
      <w:r>
        <w:rPr>
          <w:b/>
          <w:bCs/>
          <w:i/>
          <w:iCs/>
          <w:color w:val="FF0000"/>
          <w:sz w:val="28"/>
          <w:szCs w:val="28"/>
          <w:highlight w:val="yellow"/>
        </w:rPr>
      </w:r>
    </w:p>
    <w:p>
      <w:pPr>
        <w:pStyle w:val="Normal"/>
        <w:spacing w:lineRule="auto" w:line="276"/>
        <w:jc w:val="both"/>
        <w:rPr>
          <w:sz w:val="22"/>
          <w:szCs w:val="22"/>
        </w:rPr>
      </w:pPr>
      <w:r>
        <w:rPr>
          <w:b/>
          <w:bCs/>
          <w:i/>
          <w:iCs/>
          <w:sz w:val="22"/>
          <w:szCs w:val="22"/>
        </w:rPr>
        <w:t>Izvještaj o danim zajmovima i potraživanjima po danim zajmovima</w:t>
      </w:r>
    </w:p>
    <w:p>
      <w:pPr>
        <w:pStyle w:val="Normal"/>
        <w:spacing w:lineRule="auto" w:line="276"/>
        <w:jc w:val="both"/>
        <w:rPr>
          <w:b/>
          <w:bCs/>
          <w:i/>
          <w:i/>
          <w:iCs/>
          <w:color w:val="FF0000"/>
          <w:sz w:val="22"/>
          <w:szCs w:val="22"/>
          <w:highlight w:val="yellow"/>
        </w:rPr>
      </w:pPr>
      <w:r>
        <w:rPr>
          <w:b/>
          <w:bCs/>
          <w:i/>
          <w:iCs/>
          <w:color w:val="FF0000"/>
          <w:sz w:val="22"/>
          <w:szCs w:val="22"/>
          <w:highlight w:val="yellow"/>
        </w:rPr>
      </w:r>
    </w:p>
    <w:p>
      <w:pPr>
        <w:pStyle w:val="Normal"/>
        <w:spacing w:lineRule="auto" w:line="276"/>
        <w:jc w:val="both"/>
        <w:rPr>
          <w:sz w:val="22"/>
          <w:szCs w:val="22"/>
        </w:rPr>
      </w:pPr>
      <w:r>
        <w:rPr>
          <w:sz w:val="22"/>
          <w:szCs w:val="22"/>
        </w:rPr>
        <w:t xml:space="preserve">U izvještajnom razdoblju I.-XII. 2025. godine nema danih zajmova ni potraživanja za dane zajmove koji bi bili ugovorili za navedenu proračunsku godinu. </w:t>
      </w:r>
    </w:p>
    <w:p>
      <w:pPr>
        <w:pStyle w:val="Normal"/>
        <w:spacing w:lineRule="auto" w:line="276"/>
        <w:jc w:val="both"/>
        <w:rPr>
          <w:b/>
          <w:bCs/>
          <w:i/>
          <w:i/>
          <w:iCs/>
          <w:color w:val="FF0000"/>
          <w:sz w:val="22"/>
          <w:szCs w:val="22"/>
          <w:highlight w:val="yellow"/>
        </w:rPr>
      </w:pPr>
      <w:r>
        <w:rPr>
          <w:b/>
          <w:bCs/>
          <w:i/>
          <w:iCs/>
          <w:color w:val="FF0000"/>
          <w:sz w:val="22"/>
          <w:szCs w:val="22"/>
          <w:highlight w:val="yellow"/>
        </w:rPr>
      </w:r>
    </w:p>
    <w:p>
      <w:pPr>
        <w:pStyle w:val="Normal"/>
        <w:spacing w:lineRule="auto" w:line="276"/>
        <w:jc w:val="both"/>
        <w:rPr>
          <w:b/>
          <w:bCs/>
          <w:i/>
          <w:i/>
          <w:iCs/>
          <w:color w:val="FF0000"/>
          <w:sz w:val="22"/>
          <w:szCs w:val="22"/>
          <w:highlight w:val="yellow"/>
        </w:rPr>
      </w:pPr>
      <w:r>
        <w:rPr>
          <w:b/>
          <w:bCs/>
          <w:i/>
          <w:iCs/>
          <w:color w:val="FF0000"/>
          <w:sz w:val="22"/>
          <w:szCs w:val="22"/>
          <w:highlight w:val="yellow"/>
        </w:rPr>
      </w:r>
    </w:p>
    <w:p>
      <w:pPr>
        <w:pStyle w:val="Normal"/>
        <w:spacing w:lineRule="auto" w:line="276"/>
        <w:jc w:val="both"/>
        <w:rPr>
          <w:sz w:val="22"/>
          <w:szCs w:val="22"/>
        </w:rPr>
      </w:pPr>
      <w:r>
        <w:rPr>
          <w:b/>
          <w:bCs/>
          <w:i/>
          <w:iCs/>
          <w:sz w:val="22"/>
          <w:szCs w:val="22"/>
        </w:rPr>
        <w:t>Izvještaj o danim jamstvima i plaćanjima po protestiranim jamstvima</w:t>
      </w:r>
    </w:p>
    <w:p>
      <w:pPr>
        <w:pStyle w:val="Normal"/>
        <w:spacing w:lineRule="auto" w:line="276"/>
        <w:jc w:val="both"/>
        <w:rPr>
          <w:b/>
          <w:bCs/>
          <w:i/>
          <w:i/>
          <w:iCs/>
          <w:color w:val="FF0000"/>
          <w:sz w:val="22"/>
          <w:szCs w:val="22"/>
          <w:highlight w:val="yellow"/>
        </w:rPr>
      </w:pPr>
      <w:r>
        <w:rPr>
          <w:b/>
          <w:bCs/>
          <w:i/>
          <w:iCs/>
          <w:color w:val="FF0000"/>
          <w:sz w:val="22"/>
          <w:szCs w:val="22"/>
          <w:highlight w:val="yellow"/>
        </w:rPr>
      </w:r>
    </w:p>
    <w:p>
      <w:pPr>
        <w:pStyle w:val="Normal"/>
        <w:spacing w:lineRule="auto" w:line="276"/>
        <w:jc w:val="both"/>
        <w:rPr>
          <w:sz w:val="22"/>
          <w:szCs w:val="22"/>
        </w:rPr>
      </w:pPr>
      <w:r>
        <w:rPr>
          <w:sz w:val="22"/>
          <w:szCs w:val="22"/>
        </w:rPr>
        <w:t>U izvještajnom razdoblju I.-XII.2025. godine nema danih jamstava ni izvršenih plaćanja po protestiranim jamstvima za navedenu proračunsku godinu, kao ni stanja aktivnih jamstava na početku i na kraju proračunske godine, ni stanja potraživanja po protestiranim jamstvima na početku i na kraju proračunske godine, ni stanja potraživanja na ime premije/provizije na dana jamstva na početku i na kraju proračunske godine</w:t>
      </w:r>
    </w:p>
    <w:p>
      <w:pPr>
        <w:pStyle w:val="Normal"/>
        <w:spacing w:lineRule="auto" w:line="276"/>
        <w:jc w:val="both"/>
        <w:rPr>
          <w:b/>
          <w:bCs/>
          <w:i/>
          <w:i/>
          <w:iCs/>
          <w:color w:val="FF0000"/>
          <w:sz w:val="22"/>
          <w:szCs w:val="22"/>
          <w:highlight w:val="yellow"/>
        </w:rPr>
      </w:pPr>
      <w:r>
        <w:rPr>
          <w:b/>
          <w:bCs/>
          <w:i/>
          <w:iCs/>
          <w:color w:val="FF0000"/>
          <w:sz w:val="22"/>
          <w:szCs w:val="22"/>
          <w:highlight w:val="yellow"/>
        </w:rPr>
      </w:r>
    </w:p>
    <w:p>
      <w:pPr>
        <w:pStyle w:val="Normal"/>
        <w:spacing w:lineRule="auto" w:line="276"/>
        <w:jc w:val="both"/>
        <w:rPr>
          <w:b/>
          <w:bCs/>
          <w:i/>
          <w:i/>
          <w:iCs/>
        </w:rPr>
      </w:pPr>
      <w:r>
        <w:rPr>
          <w:b/>
          <w:bCs/>
          <w:i/>
          <w:iCs/>
        </w:rPr>
      </w:r>
    </w:p>
    <w:p>
      <w:pPr>
        <w:pStyle w:val="Normal"/>
        <w:spacing w:lineRule="auto" w:line="276"/>
        <w:jc w:val="both"/>
        <w:rPr>
          <w:sz w:val="22"/>
          <w:szCs w:val="22"/>
        </w:rPr>
      </w:pPr>
      <w:r>
        <w:rPr>
          <w:b/>
          <w:bCs/>
          <w:i/>
          <w:iCs/>
          <w:sz w:val="22"/>
          <w:szCs w:val="22"/>
        </w:rPr>
        <w:t>Izvještaj o stanju potraživanja i dospjelih obveza te o stanju potencijalnih obveza po osnovi sudskih sporova</w:t>
      </w:r>
    </w:p>
    <w:p>
      <w:pPr>
        <w:pStyle w:val="Normal"/>
        <w:spacing w:lineRule="auto" w:line="276"/>
        <w:jc w:val="both"/>
        <w:rPr>
          <w:sz w:val="22"/>
          <w:szCs w:val="22"/>
        </w:rPr>
      </w:pPr>
      <w:r>
        <w:rPr>
          <w:sz w:val="22"/>
          <w:szCs w:val="22"/>
        </w:rPr>
      </w:r>
    </w:p>
    <w:p>
      <w:pPr>
        <w:pStyle w:val="Normal"/>
        <w:spacing w:lineRule="auto" w:line="276"/>
        <w:jc w:val="both"/>
        <w:rPr>
          <w:b/>
          <w:bCs/>
          <w:i/>
          <w:i/>
          <w:iCs/>
          <w:color w:val="FF0000"/>
          <w:sz w:val="22"/>
          <w:szCs w:val="22"/>
        </w:rPr>
      </w:pPr>
      <w:r>
        <w:rPr>
          <w:b/>
          <w:bCs/>
          <w:i/>
          <w:iCs/>
          <w:color w:val="FF0000"/>
          <w:sz w:val="22"/>
          <w:szCs w:val="22"/>
        </w:rPr>
      </w:r>
    </w:p>
    <w:p>
      <w:pPr>
        <w:pStyle w:val="Normal"/>
        <w:spacing w:lineRule="auto" w:line="276"/>
        <w:jc w:val="both"/>
        <w:rPr>
          <w:sz w:val="22"/>
          <w:szCs w:val="22"/>
        </w:rPr>
      </w:pPr>
      <w:r>
        <w:rPr>
          <w:b/>
          <w:bCs/>
          <w:i/>
          <w:iCs/>
          <w:sz w:val="22"/>
          <w:szCs w:val="22"/>
        </w:rPr>
        <w:t>Izvještaj o stanju potraživanja</w:t>
      </w:r>
    </w:p>
    <w:p>
      <w:pPr>
        <w:pStyle w:val="Normal"/>
        <w:spacing w:lineRule="auto" w:line="276"/>
        <w:jc w:val="both"/>
        <w:rPr>
          <w:b/>
          <w:bCs/>
          <w:i/>
          <w:i/>
          <w:iCs/>
          <w:sz w:val="28"/>
          <w:szCs w:val="28"/>
        </w:rPr>
      </w:pPr>
      <w:r>
        <w:rPr>
          <w:b/>
          <w:bCs/>
          <w:i/>
          <w:iCs/>
          <w:sz w:val="28"/>
          <w:szCs w:val="28"/>
        </w:rPr>
      </w:r>
    </w:p>
    <w:p>
      <w:pPr>
        <w:pStyle w:val="Normal"/>
        <w:spacing w:lineRule="auto" w:line="360"/>
        <w:jc w:val="both"/>
        <w:rPr>
          <w:rFonts w:ascii="Times New Roman" w:hAnsi="Times New Roman"/>
          <w:sz w:val="22"/>
          <w:szCs w:val="22"/>
        </w:rPr>
      </w:pPr>
      <w:r>
        <w:rPr>
          <w:rFonts w:cs="Times New Roman"/>
          <w:sz w:val="22"/>
          <w:szCs w:val="22"/>
        </w:rPr>
        <w:t xml:space="preserve">Bolnica je na dan </w:t>
      </w:r>
      <w:r>
        <w:rPr>
          <w:rFonts w:cs="Times New Roman"/>
          <w:b w:val="false"/>
          <w:bCs w:val="false"/>
          <w:sz w:val="22"/>
          <w:szCs w:val="22"/>
        </w:rPr>
        <w:t>31. prosinca 2025.</w:t>
      </w:r>
      <w:r>
        <w:rPr>
          <w:rFonts w:cs="Times New Roman"/>
          <w:sz w:val="22"/>
          <w:szCs w:val="22"/>
        </w:rPr>
        <w:t xml:space="preserve"> godine iskazala potraživanje u iznosu od 493.106,63 eura.</w:t>
      </w:r>
    </w:p>
    <w:p>
      <w:pPr>
        <w:pStyle w:val="Normal"/>
        <w:spacing w:lineRule="auto" w:line="360"/>
        <w:jc w:val="left"/>
        <w:rPr>
          <w:rFonts w:ascii="Times New Roman" w:hAnsi="Times New Roman"/>
          <w:sz w:val="22"/>
          <w:szCs w:val="22"/>
        </w:rPr>
      </w:pPr>
      <w:r>
        <w:rPr>
          <w:rFonts w:cs="Times New Roman"/>
          <w:b w:val="false"/>
          <w:bCs w:val="false"/>
          <w:color w:val="000000"/>
          <w:sz w:val="22"/>
          <w:szCs w:val="22"/>
        </w:rPr>
        <w:t xml:space="preserve">Navedena potraživanja  odnose se na potraživanja od HZZO-a temeljem ugovora za usluge pružene izvan ugovorenog limita u iznosu od </w:t>
      </w:r>
      <w:r>
        <w:rPr>
          <w:rFonts w:eastAsia="Arial Unicode MS" w:cs="Times New Roman"/>
          <w:b w:val="false"/>
          <w:bCs w:val="false"/>
          <w:color w:val="auto"/>
          <w:kern w:val="2"/>
          <w:sz w:val="22"/>
          <w:szCs w:val="22"/>
          <w:lang w:val="hr-HR" w:eastAsia="zh-CN" w:bidi="hi-IN"/>
        </w:rPr>
        <w:t>118.679,91 eura</w:t>
      </w:r>
      <w:r>
        <w:rPr>
          <w:rFonts w:cs="Times New Roman"/>
          <w:b w:val="false"/>
          <w:bCs w:val="false"/>
          <w:color w:val="000000"/>
          <w:sz w:val="22"/>
          <w:szCs w:val="22"/>
        </w:rPr>
        <w:t>, dopunsko osiguranje u iznosu od 273.925,75</w:t>
      </w:r>
      <w:r>
        <w:rPr>
          <w:rFonts w:eastAsia="Arial Unicode MS" w:cs="Times New Roman"/>
          <w:b w:val="false"/>
          <w:bCs w:val="false"/>
          <w:color w:val="auto"/>
          <w:kern w:val="2"/>
          <w:sz w:val="22"/>
          <w:szCs w:val="22"/>
          <w:lang w:val="hr-HR" w:eastAsia="zh-CN" w:bidi="hi-IN"/>
        </w:rPr>
        <w:t xml:space="preserve"> eura, p</w:t>
      </w:r>
      <w:r>
        <w:rPr>
          <w:rFonts w:eastAsia="Arial Unicode MS" w:cs="Times New Roman"/>
          <w:b w:val="false"/>
          <w:bCs w:val="false"/>
          <w:color w:val="000000"/>
          <w:kern w:val="2"/>
          <w:sz w:val="22"/>
          <w:szCs w:val="22"/>
          <w:lang w:val="hr-HR" w:eastAsia="zh-CN" w:bidi="hi-IN"/>
        </w:rPr>
        <w:t>otra</w:t>
      </w:r>
      <w:r>
        <w:rPr>
          <w:rFonts w:cs="Times New Roman"/>
          <w:b w:val="false"/>
          <w:bCs w:val="false"/>
          <w:color w:val="000000"/>
          <w:sz w:val="22"/>
          <w:szCs w:val="22"/>
        </w:rPr>
        <w:t>živanja od drugih zdravstvenih ustanova</w:t>
      </w:r>
      <w:r>
        <w:rPr>
          <w:rFonts w:cs="Arial"/>
          <w:b w:val="false"/>
          <w:bCs w:val="false"/>
          <w:color w:val="000000"/>
          <w:sz w:val="22"/>
          <w:szCs w:val="22"/>
        </w:rPr>
        <w:t xml:space="preserve"> </w:t>
      </w:r>
      <w:r>
        <w:rPr>
          <w:rFonts w:cs="Times New Roman"/>
          <w:b w:val="false"/>
          <w:bCs w:val="false"/>
          <w:color w:val="000000"/>
          <w:sz w:val="22"/>
          <w:szCs w:val="22"/>
        </w:rPr>
        <w:t>u iznosu od 276,42 eura i ostala potraživanja u iznosu od 100.224,55 eura (privatnici, participacija, predujmovi, refundacija troškova...).</w:t>
      </w:r>
    </w:p>
    <w:p>
      <w:pPr>
        <w:pStyle w:val="ListParagraph"/>
        <w:spacing w:lineRule="auto" w:line="360"/>
        <w:rPr>
          <w:color w:themeColor="text1" w:val="000000"/>
          <w:sz w:val="22"/>
          <w:szCs w:val="22"/>
        </w:rPr>
      </w:pPr>
      <w:r>
        <w:rPr>
          <w:color w:themeColor="text1" w:val="000000"/>
          <w:sz w:val="22"/>
          <w:szCs w:val="22"/>
        </w:rPr>
      </w:r>
    </w:p>
    <w:p>
      <w:pPr>
        <w:pStyle w:val="Normal"/>
        <w:suppressAutoHyphens w:val="false"/>
        <w:spacing w:lineRule="auto" w:line="276" w:before="0" w:after="200"/>
        <w:jc w:val="both"/>
        <w:rPr>
          <w:sz w:val="22"/>
          <w:szCs w:val="22"/>
        </w:rPr>
      </w:pPr>
      <w:r>
        <w:rPr>
          <w:rFonts w:eastAsia="Calibri"/>
          <w:b/>
          <w:bCs/>
          <w:i/>
          <w:iCs/>
          <w:sz w:val="22"/>
          <w:szCs w:val="22"/>
          <w:lang w:eastAsia="en-US"/>
        </w:rPr>
        <w:t>Izvještaj o stanju obveza</w:t>
      </w:r>
    </w:p>
    <w:p>
      <w:pPr>
        <w:pStyle w:val="Normal"/>
        <w:spacing w:lineRule="auto" w:line="360"/>
        <w:jc w:val="both"/>
        <w:rPr>
          <w:rFonts w:ascii="Times New Roman" w:hAnsi="Times New Roman" w:cs="Times New Roman"/>
          <w:b w:val="false"/>
          <w:bCs w:val="false"/>
          <w:sz w:val="22"/>
          <w:szCs w:val="22"/>
          <w:u w:val="none"/>
        </w:rPr>
      </w:pPr>
      <w:r>
        <w:rPr>
          <w:rFonts w:cs="Times New Roman"/>
          <w:b w:val="false"/>
          <w:bCs w:val="false"/>
          <w:sz w:val="22"/>
          <w:szCs w:val="22"/>
          <w:u w:val="none"/>
        </w:rPr>
        <w:t>Stanje ukupnih obveza na dan 1. siječnja 2025. godine iznosilo je 11.124.898,35 eura. U izvještajnom razdoblju bilježi se povećanje obveza u iznosu od 27.204.134,00 eura, dok je istovremeno podmireno obveza u iznosu od 24.033.397,73 eura, te je na osnovu navedenog utvrđeno stanje obveza na dan 31. prosinca 2025. godine u iznosu od 14.295.634,62 eura. Dospjele obveze na kraju izvještajnog razdoblja iznose 135.712,16 eura. Nedospjele obveze na dan 31. prosinca 2025. godine iznose 14.159.922,46 eura.</w:t>
      </w:r>
    </w:p>
    <w:p>
      <w:pPr>
        <w:pStyle w:val="Normal"/>
        <w:jc w:val="both"/>
        <w:rPr>
          <w:rFonts w:ascii="Times New Roman" w:hAnsi="Times New Roman" w:cs="Times New Roman"/>
          <w:b/>
          <w:sz w:val="22"/>
          <w:szCs w:val="22"/>
        </w:rPr>
      </w:pPr>
      <w:r>
        <w:rPr>
          <w:rFonts w:cs="Times New Roman"/>
          <w:b/>
          <w:sz w:val="22"/>
          <w:szCs w:val="22"/>
        </w:rPr>
      </w:r>
    </w:p>
    <w:p>
      <w:pPr>
        <w:pStyle w:val="Normal"/>
        <w:spacing w:lineRule="auto" w:line="360"/>
        <w:jc w:val="both"/>
        <w:rPr>
          <w:rFonts w:ascii="Times New Roman" w:hAnsi="Times New Roman"/>
          <w:sz w:val="22"/>
          <w:szCs w:val="22"/>
        </w:rPr>
      </w:pPr>
      <w:r>
        <w:rPr>
          <w:rFonts w:cs="Times New Roman"/>
          <w:sz w:val="22"/>
          <w:szCs w:val="22"/>
        </w:rPr>
        <w:t xml:space="preserve">Glavni razlozi povećanja obveza : </w:t>
      </w:r>
    </w:p>
    <w:p>
      <w:pPr>
        <w:pStyle w:val="Normal"/>
        <w:spacing w:lineRule="auto" w:line="360"/>
        <w:jc w:val="both"/>
        <w:rPr>
          <w:rFonts w:ascii="Times New Roman" w:hAnsi="Times New Roman"/>
          <w:sz w:val="22"/>
          <w:szCs w:val="22"/>
        </w:rPr>
      </w:pPr>
      <w:r>
        <w:rPr>
          <w:rFonts w:cs="Times New Roman"/>
          <w:sz w:val="22"/>
          <w:szCs w:val="22"/>
        </w:rPr>
        <w:t xml:space="preserve">dobivena sredstva od strane HZZO-a za provođenje bolničke i specijalističko-konzilijarne zdravstvene zaštite iz obveznog zdravstvenog osiguranja ne prati fakturiranje </w:t>
      </w:r>
      <w:r>
        <w:rPr>
          <w:rFonts w:cs="Times New Roman"/>
          <w:b w:val="false"/>
          <w:bCs w:val="false"/>
          <w:sz w:val="22"/>
          <w:szCs w:val="22"/>
        </w:rPr>
        <w:t>dijagnostičko terapijskih skupina (DTS-a) na akutnim odjelima, dijagnostičko terapijskih postupaka (DTP-a) i dana bolničkog liječenja (DBL-a) na kroničnim odjelima što se odražava na smanjenje fakturirane realizacije, te stvaranje dodatnih obveza prema HZZO-u za manje fakturiranu realizaciju u odnosu na dobiveni limit. Bolnica je u 2025. godine uspjela isplatiti sve obveze prema zaposlenicima i smanjiti dug prema dobavljačima na 30 dana. Dug prema HZZO-u u 2025. godine je povećan za 2.966.970,58 eura i na dan 31. prosinca 2025. godine iznosi  12.737.659,48 eura.</w:t>
      </w:r>
    </w:p>
    <w:p>
      <w:pPr>
        <w:pStyle w:val="Normal"/>
        <w:jc w:val="both"/>
        <w:rPr>
          <w:rFonts w:ascii="Times New Roman" w:hAnsi="Times New Roman" w:cs="Times New Roman"/>
          <w:b/>
          <w:bCs/>
          <w:sz w:val="22"/>
          <w:szCs w:val="22"/>
        </w:rPr>
      </w:pPr>
      <w:r>
        <w:rPr>
          <w:rFonts w:cs="Times New Roman"/>
          <w:b/>
          <w:bCs/>
          <w:sz w:val="22"/>
          <w:szCs w:val="22"/>
        </w:rPr>
      </w:r>
    </w:p>
    <w:p>
      <w:pPr>
        <w:pStyle w:val="Normal"/>
        <w:jc w:val="both"/>
        <w:rPr>
          <w:rFonts w:ascii="Times New Roman" w:hAnsi="Times New Roman" w:cs="Times New Roman"/>
          <w:b/>
          <w:bCs/>
          <w:sz w:val="22"/>
          <w:szCs w:val="22"/>
        </w:rPr>
      </w:pPr>
      <w:r>
        <w:rPr>
          <w:rFonts w:cs="Times New Roman"/>
          <w:b/>
          <w:bCs/>
          <w:sz w:val="22"/>
          <w:szCs w:val="22"/>
        </w:rPr>
        <w:t>Stanje obveza na kraju izvještajnog razdoblja sastoji se iz:</w:t>
      </w:r>
    </w:p>
    <w:p>
      <w:pPr>
        <w:pStyle w:val="Normal"/>
        <w:jc w:val="both"/>
        <w:rPr>
          <w:rFonts w:ascii="Times New Roman" w:hAnsi="Times New Roman" w:cs="Times New Roman"/>
          <w:b/>
          <w:bCs/>
          <w:sz w:val="22"/>
          <w:szCs w:val="22"/>
        </w:rPr>
      </w:pPr>
      <w:r>
        <w:rPr>
          <w:rFonts w:cs="Times New Roman"/>
          <w:b/>
          <w:bCs/>
          <w:sz w:val="22"/>
          <w:szCs w:val="22"/>
        </w:rPr>
      </w:r>
    </w:p>
    <w:p>
      <w:pPr>
        <w:pStyle w:val="Normal"/>
        <w:spacing w:lineRule="auto" w:line="360"/>
        <w:jc w:val="both"/>
        <w:rPr>
          <w:rFonts w:ascii="Times New Roman" w:hAnsi="Times New Roman" w:cs="Times New Roman"/>
          <w:sz w:val="22"/>
          <w:szCs w:val="22"/>
        </w:rPr>
      </w:pPr>
      <w:r>
        <w:rPr>
          <w:rFonts w:cs="Times New Roman"/>
          <w:sz w:val="22"/>
          <w:szCs w:val="22"/>
        </w:rPr>
        <w:t xml:space="preserve">- obveza prema dobavljačima za isporučenu robu i usluge u iznosu od 559.956,02 eura, </w:t>
      </w:r>
    </w:p>
    <w:p>
      <w:pPr>
        <w:pStyle w:val="Normal"/>
        <w:spacing w:lineRule="auto" w:line="360"/>
        <w:jc w:val="both"/>
        <w:rPr>
          <w:rFonts w:ascii="Times New Roman" w:hAnsi="Times New Roman" w:cs="Times New Roman"/>
          <w:sz w:val="22"/>
          <w:szCs w:val="22"/>
        </w:rPr>
      </w:pPr>
      <w:r>
        <w:rPr>
          <w:rFonts w:cs="Times New Roman"/>
          <w:sz w:val="22"/>
          <w:szCs w:val="22"/>
        </w:rPr>
        <w:t xml:space="preserve">- obveza prema zaposlenima u iznosu od 957.124,66 eura (bruto plaće, naknade za prijevoz,   </w:t>
      </w:r>
    </w:p>
    <w:p>
      <w:pPr>
        <w:pStyle w:val="Normal"/>
        <w:spacing w:lineRule="auto" w:line="360"/>
        <w:jc w:val="both"/>
        <w:rPr>
          <w:rFonts w:ascii="Times New Roman" w:hAnsi="Times New Roman"/>
          <w:sz w:val="22"/>
          <w:szCs w:val="22"/>
        </w:rPr>
      </w:pPr>
      <w:r>
        <w:rPr>
          <w:rFonts w:eastAsia="Times New Roman" w:cs="Times New Roman"/>
          <w:sz w:val="22"/>
          <w:szCs w:val="22"/>
        </w:rPr>
        <w:t xml:space="preserve">  </w:t>
      </w:r>
      <w:r>
        <w:rPr>
          <w:rFonts w:cs="Times New Roman"/>
          <w:sz w:val="22"/>
          <w:szCs w:val="22"/>
        </w:rPr>
        <w:t xml:space="preserve">doprinosi i naknade), </w:t>
      </w:r>
    </w:p>
    <w:p>
      <w:pPr>
        <w:pStyle w:val="Normal"/>
        <w:spacing w:lineRule="auto" w:line="360"/>
        <w:jc w:val="both"/>
        <w:rPr>
          <w:rFonts w:ascii="Times New Roman" w:hAnsi="Times New Roman" w:cs="Times New Roman"/>
          <w:sz w:val="22"/>
          <w:szCs w:val="22"/>
        </w:rPr>
      </w:pPr>
      <w:r>
        <w:rPr>
          <w:rFonts w:cs="Times New Roman"/>
          <w:sz w:val="22"/>
          <w:szCs w:val="22"/>
        </w:rPr>
        <w:t xml:space="preserve">- obveze prema HZZO-u za manje izvršeni rad u iznosu od 12.737.659,48 eura i </w:t>
      </w:r>
    </w:p>
    <w:p>
      <w:pPr>
        <w:pStyle w:val="Normal"/>
        <w:spacing w:lineRule="auto" w:line="360"/>
        <w:jc w:val="both"/>
        <w:rPr>
          <w:rFonts w:ascii="Times New Roman" w:hAnsi="Times New Roman" w:cs="Times New Roman"/>
          <w:sz w:val="22"/>
          <w:szCs w:val="22"/>
        </w:rPr>
      </w:pPr>
      <w:r>
        <w:rPr>
          <w:rFonts w:eastAsia="Calibri" w:cs="Times New Roman"/>
          <w:b w:val="false"/>
          <w:bCs w:val="false"/>
          <w:i w:val="false"/>
          <w:iCs w:val="false"/>
          <w:sz w:val="22"/>
          <w:szCs w:val="22"/>
          <w:u w:val="none"/>
          <w:lang w:eastAsia="en-US"/>
        </w:rPr>
        <w:t>- ostale nespomenute obveze u iznosu od 40.894,46 eura.</w:t>
      </w:r>
    </w:p>
    <w:p>
      <w:pPr>
        <w:pStyle w:val="Normal"/>
        <w:spacing w:lineRule="auto" w:line="360"/>
        <w:jc w:val="both"/>
        <w:rPr>
          <w:b/>
          <w:bCs/>
        </w:rPr>
      </w:pPr>
      <w:r>
        <w:rPr>
          <w:b/>
          <w:bCs/>
        </w:rPr>
      </w:r>
    </w:p>
    <w:p>
      <w:pPr>
        <w:pStyle w:val="Normal"/>
        <w:suppressAutoHyphens w:val="false"/>
        <w:spacing w:lineRule="auto" w:line="276" w:before="0" w:after="200"/>
        <w:jc w:val="both"/>
        <w:rPr>
          <w:sz w:val="22"/>
          <w:szCs w:val="22"/>
        </w:rPr>
      </w:pPr>
      <w:r>
        <w:rPr>
          <w:rFonts w:eastAsia="Calibri"/>
          <w:b/>
          <w:bCs/>
          <w:i/>
          <w:iCs/>
          <w:sz w:val="22"/>
          <w:szCs w:val="22"/>
          <w:lang w:eastAsia="en-US"/>
        </w:rPr>
        <w:t>Izvještaj o stanju potencijalnih obveza po osnovi sudskih sporova</w:t>
      </w:r>
    </w:p>
    <w:p>
      <w:pPr>
        <w:pStyle w:val="Normal"/>
        <w:suppressAutoHyphens w:val="false"/>
        <w:spacing w:lineRule="auto" w:line="276" w:before="0" w:after="200"/>
        <w:jc w:val="both"/>
        <w:rPr>
          <w:sz w:val="22"/>
          <w:szCs w:val="22"/>
        </w:rPr>
      </w:pPr>
      <w:r>
        <w:rPr>
          <w:rFonts w:eastAsia="Calibri"/>
          <w:sz w:val="22"/>
          <w:szCs w:val="22"/>
          <w:lang w:eastAsia="en-US"/>
        </w:rPr>
        <w:t xml:space="preserve">Radi praćenja potencijalnih obveza uspostavljena je </w:t>
      </w:r>
      <w:r>
        <w:rPr>
          <w:rFonts w:eastAsia="Calibri"/>
          <w:i/>
          <w:sz w:val="22"/>
          <w:szCs w:val="22"/>
          <w:lang w:eastAsia="en-US"/>
        </w:rPr>
        <w:t>izvanbilančna evidencija sudskih sporova</w:t>
      </w:r>
      <w:r>
        <w:rPr>
          <w:rFonts w:eastAsia="Calibri"/>
          <w:sz w:val="22"/>
          <w:szCs w:val="22"/>
          <w:lang w:eastAsia="en-US"/>
        </w:rPr>
        <w:t xml:space="preserve"> u tijeku. </w:t>
      </w:r>
    </w:p>
    <w:p>
      <w:pPr>
        <w:pStyle w:val="Normal"/>
        <w:suppressAutoHyphens w:val="false"/>
        <w:spacing w:lineRule="auto" w:line="276" w:before="0" w:after="200"/>
        <w:jc w:val="both"/>
        <w:rPr>
          <w:sz w:val="22"/>
          <w:szCs w:val="22"/>
        </w:rPr>
      </w:pPr>
      <w:r>
        <w:rPr>
          <w:rFonts w:eastAsia="Calibri"/>
          <w:sz w:val="22"/>
          <w:szCs w:val="22"/>
          <w:lang w:eastAsia="en-US"/>
        </w:rPr>
        <w:t>U nastavku su tabelarno prikazani navedeni sudski sporovi.</w:t>
      </w:r>
    </w:p>
    <w:p>
      <w:pPr>
        <w:pStyle w:val="Normal"/>
        <w:suppressAutoHyphens w:val="false"/>
        <w:spacing w:lineRule="auto" w:line="276" w:before="0" w:after="200"/>
        <w:jc w:val="both"/>
        <w:rPr>
          <w:rFonts w:eastAsia="Calibri"/>
          <w:lang w:eastAsia="en-US"/>
        </w:rPr>
      </w:pPr>
      <w:r>
        <w:rPr>
          <w:rFonts w:eastAsia="Calibri"/>
          <w:lang w:eastAsia="en-US"/>
        </w:rPr>
      </w:r>
    </w:p>
    <w:p>
      <w:pPr>
        <w:pStyle w:val="Normal"/>
        <w:spacing w:lineRule="auto" w:line="360"/>
        <w:jc w:val="both"/>
        <w:rPr>
          <w:b/>
          <w:bCs/>
        </w:rPr>
      </w:pPr>
      <w:r>
        <w:rPr>
          <w:b/>
          <w:bCs/>
        </w:rPr>
      </w:r>
    </w:p>
    <w:tbl>
      <w:tblPr>
        <w:tblW w:w="8498" w:type="dxa"/>
        <w:jc w:val="left"/>
        <w:tblInd w:w="25" w:type="dxa"/>
        <w:tblLayout w:type="fixed"/>
        <w:tblCellMar>
          <w:top w:w="55" w:type="dxa"/>
          <w:left w:w="55" w:type="dxa"/>
          <w:bottom w:w="55" w:type="dxa"/>
          <w:right w:w="55" w:type="dxa"/>
        </w:tblCellMar>
      </w:tblPr>
      <w:tblGrid>
        <w:gridCol w:w="1448"/>
        <w:gridCol w:w="5618"/>
        <w:gridCol w:w="1432"/>
      </w:tblGrid>
      <w:tr>
        <w:trPr>
          <w:trHeight w:val="256" w:hRule="atLeast"/>
        </w:trPr>
        <w:tc>
          <w:tcPr>
            <w:tcW w:w="8498" w:type="dxa"/>
            <w:gridSpan w:val="3"/>
            <w:tcBorders>
              <w:top w:val="single" w:sz="4" w:space="0" w:color="000000"/>
              <w:left w:val="single" w:sz="4" w:space="0" w:color="000000"/>
              <w:bottom w:val="single" w:sz="4" w:space="0" w:color="000000"/>
              <w:right w:val="single" w:sz="4" w:space="0" w:color="000000"/>
            </w:tcBorders>
            <w:vAlign w:val="bottom"/>
          </w:tcPr>
          <w:p>
            <w:pPr>
              <w:pStyle w:val="Normal"/>
              <w:tabs>
                <w:tab w:val="clear" w:pos="720"/>
              </w:tabs>
              <w:jc w:val="center"/>
              <w:rPr>
                <w:sz w:val="18"/>
                <w:szCs w:val="18"/>
              </w:rPr>
            </w:pPr>
            <w:r>
              <w:rPr>
                <w:b/>
                <w:sz w:val="18"/>
                <w:szCs w:val="18"/>
              </w:rPr>
              <w:t>POTENCIJALNE OBVEZE PO SUDSKIM SPOROVIMA</w:t>
            </w:r>
          </w:p>
        </w:tc>
      </w:tr>
      <w:tr>
        <w:trPr>
          <w:trHeight w:val="481" w:hRule="atLeast"/>
        </w:trPr>
        <w:tc>
          <w:tcPr>
            <w:tcW w:w="144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Broj predmeta</w:t>
            </w:r>
          </w:p>
        </w:tc>
        <w:tc>
          <w:tcPr>
            <w:tcW w:w="561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Opis prirode spora</w:t>
            </w:r>
          </w:p>
        </w:tc>
        <w:tc>
          <w:tcPr>
            <w:tcW w:w="1432" w:type="dxa"/>
            <w:tcBorders>
              <w:left w:val="single" w:sz="4" w:space="0" w:color="000000"/>
              <w:bottom w:val="single" w:sz="4" w:space="0" w:color="000000"/>
              <w:right w:val="single" w:sz="4" w:space="0" w:color="000000"/>
            </w:tcBorders>
            <w:vAlign w:val="bottom"/>
          </w:tcPr>
          <w:p>
            <w:pPr>
              <w:pStyle w:val="Normal"/>
              <w:tabs>
                <w:tab w:val="clear" w:pos="720"/>
              </w:tabs>
              <w:jc w:val="center"/>
              <w:rPr>
                <w:sz w:val="18"/>
                <w:szCs w:val="18"/>
              </w:rPr>
            </w:pPr>
            <w:r>
              <w:rPr>
                <w:b/>
                <w:sz w:val="18"/>
                <w:szCs w:val="18"/>
              </w:rPr>
              <w:t xml:space="preserve">Procjena </w:t>
              <w:br/>
              <w:t>Fin. učinka</w:t>
            </w:r>
          </w:p>
        </w:tc>
      </w:tr>
      <w:tr>
        <w:trPr>
          <w:trHeight w:val="481"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Pr-7371/21</w:t>
              <w:br/>
              <w:t>Pr-34/22 ŠI</w:t>
            </w:r>
          </w:p>
        </w:tc>
        <w:tc>
          <w:tcPr>
            <w:tcW w:w="561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Potraživanja radnika za dodatke na prekovremene sate</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6.088,47</w:t>
            </w:r>
          </w:p>
        </w:tc>
      </w:tr>
      <w:tr>
        <w:trPr>
          <w:trHeight w:val="710"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Pr-269/2021</w:t>
              <w:br/>
              <w:t>Pr-692/2021</w:t>
              <w:br/>
              <w:t>Pr-664/2021</w:t>
            </w:r>
          </w:p>
        </w:tc>
        <w:tc>
          <w:tcPr>
            <w:tcW w:w="561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Potraživanja radnika za osnovicu za obračun plaće</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6.179,96</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UKUPNO:</w:t>
            </w:r>
          </w:p>
        </w:tc>
        <w:tc>
          <w:tcPr>
            <w:tcW w:w="5618" w:type="dxa"/>
            <w:tcBorders>
              <w:left w:val="single" w:sz="4" w:space="0" w:color="000000"/>
              <w:bottom w:val="single" w:sz="4" w:space="0" w:color="000000"/>
            </w:tcBorders>
            <w:vAlign w:val="center"/>
          </w:tcPr>
          <w:p>
            <w:pPr>
              <w:pStyle w:val="Normal"/>
              <w:tabs>
                <w:tab w:val="clear" w:pos="720"/>
              </w:tabs>
              <w:jc w:val="center"/>
              <w:rPr>
                <w:b/>
                <w:sz w:val="18"/>
                <w:szCs w:val="18"/>
              </w:rPr>
            </w:pPr>
            <w:r>
              <w:rPr>
                <w:b/>
                <w:sz w:val="18"/>
                <w:szCs w:val="18"/>
              </w:rPr>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b/>
                <w:sz w:val="18"/>
                <w:szCs w:val="18"/>
              </w:rPr>
              <w:t>12.268,43</w:t>
            </w:r>
          </w:p>
        </w:tc>
      </w:tr>
      <w:tr>
        <w:trPr>
          <w:trHeight w:val="256" w:hRule="atLeast"/>
        </w:trPr>
        <w:tc>
          <w:tcPr>
            <w:tcW w:w="8498" w:type="dxa"/>
            <w:gridSpan w:val="3"/>
            <w:tcBorders/>
            <w:tcMar>
              <w:top w:w="0" w:type="dxa"/>
              <w:left w:w="30" w:type="dxa"/>
              <w:bottom w:w="0" w:type="dxa"/>
              <w:right w:w="30" w:type="dxa"/>
            </w:tcMar>
            <w:vAlign w:val="bottom"/>
          </w:tcPr>
          <w:p>
            <w:pPr>
              <w:pStyle w:val="Normal"/>
              <w:tabs>
                <w:tab w:val="clear" w:pos="720"/>
              </w:tabs>
              <w:jc w:val="center"/>
              <w:rPr>
                <w:b/>
              </w:rPr>
            </w:pPr>
            <w:r>
              <w:rPr>
                <w:b/>
              </w:rPr>
            </w:r>
          </w:p>
        </w:tc>
      </w:tr>
      <w:tr>
        <w:trPr>
          <w:trHeight w:val="463" w:hRule="atLeast"/>
        </w:trPr>
        <w:tc>
          <w:tcPr>
            <w:tcW w:w="1448" w:type="dxa"/>
            <w:tcBorders>
              <w:top w:val="single" w:sz="4" w:space="0" w:color="000000"/>
              <w:left w:val="single" w:sz="4" w:space="0" w:color="000000"/>
              <w:bottom w:val="single" w:sz="4" w:space="0" w:color="000000"/>
            </w:tcBorders>
            <w:vAlign w:val="center"/>
          </w:tcPr>
          <w:p>
            <w:pPr>
              <w:pStyle w:val="Normal"/>
              <w:tabs>
                <w:tab w:val="clear" w:pos="720"/>
              </w:tabs>
              <w:jc w:val="center"/>
              <w:rPr>
                <w:sz w:val="18"/>
                <w:szCs w:val="18"/>
              </w:rPr>
            </w:pPr>
            <w:r>
              <w:rPr>
                <w:b/>
                <w:sz w:val="18"/>
                <w:szCs w:val="18"/>
              </w:rPr>
              <w:t>Broj predmeta</w:t>
            </w:r>
          </w:p>
        </w:tc>
        <w:tc>
          <w:tcPr>
            <w:tcW w:w="5618" w:type="dxa"/>
            <w:tcBorders>
              <w:top w:val="single" w:sz="4" w:space="0" w:color="000000"/>
              <w:left w:val="single" w:sz="4" w:space="0" w:color="000000"/>
              <w:bottom w:val="single" w:sz="4" w:space="0" w:color="000000"/>
            </w:tcBorders>
            <w:vAlign w:val="center"/>
          </w:tcPr>
          <w:p>
            <w:pPr>
              <w:pStyle w:val="Normal"/>
              <w:tabs>
                <w:tab w:val="clear" w:pos="720"/>
              </w:tabs>
              <w:jc w:val="center"/>
              <w:rPr>
                <w:sz w:val="18"/>
                <w:szCs w:val="18"/>
              </w:rPr>
            </w:pPr>
            <w:r>
              <w:rPr>
                <w:b/>
                <w:sz w:val="18"/>
                <w:szCs w:val="18"/>
              </w:rPr>
              <w:t>Opis prirode spora</w:t>
            </w:r>
          </w:p>
        </w:tc>
        <w:tc>
          <w:tcPr>
            <w:tcW w:w="143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b/>
                <w:sz w:val="18"/>
                <w:szCs w:val="18"/>
              </w:rPr>
              <w:t xml:space="preserve">Procjena </w:t>
              <w:br/>
              <w:t>Fin. učinka</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-Povrv-44/19</w:t>
              <w:br/>
              <w:t>-Pž-6964/19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-Povrv-45/19</w:t>
              <w:br/>
              <w:t>-Pž-6965/19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-Povrv-46/19</w:t>
              <w:br/>
              <w:t>-Pž-6966/19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-Povrv-47/19</w:t>
              <w:br/>
              <w:t>-Pž-6967/19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-Povrv-48/19</w:t>
              <w:br/>
              <w:t>-Pž-6968/19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-Povrv-49/19</w:t>
              <w:br/>
              <w:t>-Pž-6969/19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-Povrv-50/19</w:t>
              <w:br/>
              <w:t>-Pž-6970/19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-Povrv-51/19</w:t>
              <w:br/>
              <w:t>-Pž-6971/19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-Povrv-52/19</w:t>
              <w:br/>
              <w:t>-Pž-6972/19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-Povrv-55/19</w:t>
              <w:br/>
              <w:t>-Pž-6973/19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567"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-Povrv-56/19</w:t>
              <w:br/>
              <w:t>-Pž-6974/19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459,42</w:t>
            </w:r>
          </w:p>
        </w:tc>
      </w:tr>
      <w:tr>
        <w:trPr>
          <w:trHeight w:val="422"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-Povrv-56/19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793,15</w:t>
            </w:r>
          </w:p>
        </w:tc>
      </w:tr>
      <w:tr>
        <w:trPr>
          <w:trHeight w:val="422" w:hRule="atLeast"/>
        </w:trPr>
        <w:tc>
          <w:tcPr>
            <w:tcW w:w="1448" w:type="dxa"/>
            <w:tcBorders>
              <w:left w:val="single" w:sz="4" w:space="0" w:color="000000"/>
              <w:bottom w:val="single" w:sz="4" w:space="0" w:color="000000"/>
            </w:tcBorders>
            <w:vAlign w:val="center"/>
          </w:tcPr>
          <w:p>
            <w:pPr>
              <w:pStyle w:val="Normal"/>
              <w:tabs>
                <w:tab w:val="clear" w:pos="720"/>
              </w:tabs>
              <w:jc w:val="left"/>
              <w:rPr>
                <w:sz w:val="18"/>
                <w:szCs w:val="18"/>
              </w:rPr>
            </w:pPr>
            <w:r>
              <w:rPr>
                <w:sz w:val="18"/>
                <w:szCs w:val="18"/>
              </w:rPr>
              <w:t>-Povrv-56/19</w:t>
            </w:r>
          </w:p>
        </w:tc>
        <w:tc>
          <w:tcPr>
            <w:tcW w:w="561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Ovrha zbog nepodmirenih obveza prema dobavljaču</w:t>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695,17</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UKUPNO:</w:t>
            </w:r>
          </w:p>
        </w:tc>
        <w:tc>
          <w:tcPr>
            <w:tcW w:w="5618" w:type="dxa"/>
            <w:tcBorders>
              <w:left w:val="single" w:sz="4" w:space="0" w:color="000000"/>
              <w:bottom w:val="single" w:sz="4" w:space="0" w:color="000000"/>
            </w:tcBorders>
            <w:vAlign w:val="center"/>
          </w:tcPr>
          <w:p>
            <w:pPr>
              <w:pStyle w:val="Normal"/>
              <w:tabs>
                <w:tab w:val="clear" w:pos="720"/>
              </w:tabs>
              <w:jc w:val="center"/>
              <w:rPr>
                <w:b/>
                <w:sz w:val="18"/>
                <w:szCs w:val="18"/>
              </w:rPr>
            </w:pPr>
            <w:r>
              <w:rPr>
                <w:b/>
                <w:sz w:val="18"/>
                <w:szCs w:val="18"/>
              </w:rPr>
            </w:r>
          </w:p>
        </w:tc>
        <w:tc>
          <w:tcPr>
            <w:tcW w:w="1432"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b/>
                <w:sz w:val="18"/>
                <w:szCs w:val="18"/>
              </w:rPr>
              <w:t>6.541,94</w:t>
            </w:r>
          </w:p>
        </w:tc>
      </w:tr>
    </w:tbl>
    <w:p>
      <w:pPr>
        <w:pStyle w:val="Normal"/>
        <w:tabs>
          <w:tab w:val="clear" w:pos="720"/>
        </w:tabs>
        <w:jc w:val="left"/>
        <w:rPr>
          <w:sz w:val="20"/>
          <w:szCs w:val="20"/>
        </w:rPr>
      </w:pPr>
      <w:r>
        <w:rPr>
          <w:i/>
          <w:sz w:val="20"/>
          <w:szCs w:val="20"/>
          <w:u w:val="single"/>
        </w:rPr>
        <w:t xml:space="preserve">Napomena: vrijeme priljeva ili odljeva sredstava temeljem sudskih presuda nije moguće utvrditi, zbog </w:t>
      </w:r>
    </w:p>
    <w:p>
      <w:pPr>
        <w:pStyle w:val="Normal"/>
        <w:tabs>
          <w:tab w:val="clear" w:pos="720"/>
        </w:tabs>
        <w:jc w:val="left"/>
        <w:rPr>
          <w:sz w:val="20"/>
          <w:szCs w:val="20"/>
        </w:rPr>
      </w:pPr>
      <w:r>
        <w:rPr>
          <w:i/>
          <w:sz w:val="20"/>
          <w:szCs w:val="20"/>
          <w:u w:val="single"/>
        </w:rPr>
        <w:t>nemogućnosti procjene vremena trajanja spora</w:t>
      </w:r>
    </w:p>
    <w:p>
      <w:pPr>
        <w:pStyle w:val="Normal"/>
        <w:spacing w:lineRule="auto" w:line="360"/>
        <w:jc w:val="both"/>
        <w:rPr>
          <w:b/>
          <w:bCs/>
        </w:rPr>
      </w:pPr>
      <w:r>
        <w:rPr>
          <w:b/>
          <w:bCs/>
        </w:rPr>
      </w:r>
    </w:p>
    <w:tbl>
      <w:tblPr>
        <w:tblW w:w="8498" w:type="dxa"/>
        <w:jc w:val="left"/>
        <w:tblInd w:w="25" w:type="dxa"/>
        <w:tblLayout w:type="fixed"/>
        <w:tblCellMar>
          <w:top w:w="55" w:type="dxa"/>
          <w:left w:w="55" w:type="dxa"/>
          <w:bottom w:w="55" w:type="dxa"/>
          <w:right w:w="55" w:type="dxa"/>
        </w:tblCellMar>
      </w:tblPr>
      <w:tblGrid>
        <w:gridCol w:w="1448"/>
        <w:gridCol w:w="3921"/>
        <w:gridCol w:w="1697"/>
        <w:gridCol w:w="1431"/>
      </w:tblGrid>
      <w:tr>
        <w:trPr>
          <w:trHeight w:val="276" w:hRule="atLeast"/>
        </w:trPr>
        <w:tc>
          <w:tcPr>
            <w:tcW w:w="8497"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b/>
                <w:sz w:val="18"/>
                <w:szCs w:val="18"/>
              </w:rPr>
              <w:t>IZVANBILANČNI ZAPISI</w:t>
            </w:r>
          </w:p>
        </w:tc>
      </w:tr>
      <w:tr>
        <w:trPr>
          <w:trHeight w:val="939"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Popis danih</w:t>
              <w:br/>
              <w:t xml:space="preserve"> instrumenata </w:t>
              <w:br/>
              <w:t xml:space="preserve">osiguranja </w:t>
              <w:br/>
              <w:t>plaćanja</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Temelj izdavanja</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Dobavljač </w:t>
              <w:br/>
              <w:t xml:space="preserve">za </w:t>
              <w:br/>
              <w:t xml:space="preserve">isporučenu </w:t>
              <w:br/>
              <w:t>robu/uslugu</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 xml:space="preserve">Iznos </w:t>
              <w:br/>
              <w:t xml:space="preserve">instrumenta </w:t>
              <w:br/>
              <w:t>Osiguranja</w:t>
              <w:br/>
              <w:t xml:space="preserve"> Plaćanja do</w:t>
            </w:r>
          </w:p>
        </w:tc>
      </w:tr>
      <w:tr>
        <w:trPr>
          <w:trHeight w:val="710"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Zadužnica</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Ugovor/obveza za isporuku roba i usluga</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Dobavljač </w:t>
              <w:br/>
              <w:t xml:space="preserve">Za isporučenu </w:t>
              <w:br/>
              <w:t>Energiju</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6.636,14</w:t>
            </w:r>
          </w:p>
        </w:tc>
      </w:tr>
      <w:tr>
        <w:trPr>
          <w:trHeight w:val="963"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Zadužnica</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Ugovor/obveza za isporučenu robu i usluge</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Dobavljač </w:t>
              <w:br/>
              <w:t xml:space="preserve">Za isporučene </w:t>
              <w:br/>
              <w:t>Komunalne usluge</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6.636,14</w:t>
            </w:r>
          </w:p>
        </w:tc>
      </w:tr>
      <w:tr>
        <w:trPr>
          <w:trHeight w:val="734"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Zadužnica</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Ugovor/obveza za isporučenu robu i usluge</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Dobavljač</w:t>
              <w:br/>
              <w:t xml:space="preserve"> Za isporučene </w:t>
              <w:br/>
              <w:t>Komunalne usluge</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13.272,28</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UKUPNO:</w:t>
            </w:r>
          </w:p>
        </w:tc>
        <w:tc>
          <w:tcPr>
            <w:tcW w:w="3921" w:type="dxa"/>
            <w:tcBorders>
              <w:left w:val="single" w:sz="4" w:space="0" w:color="000000"/>
              <w:bottom w:val="single" w:sz="4" w:space="0" w:color="000000"/>
            </w:tcBorders>
            <w:vAlign w:val="bottom"/>
          </w:tcPr>
          <w:p>
            <w:pPr>
              <w:pStyle w:val="Normal"/>
              <w:tabs>
                <w:tab w:val="clear" w:pos="720"/>
              </w:tabs>
              <w:jc w:val="left"/>
              <w:rPr>
                <w:b/>
                <w:sz w:val="18"/>
                <w:szCs w:val="18"/>
              </w:rPr>
            </w:pPr>
            <w:r>
              <w:rPr>
                <w:b/>
                <w:sz w:val="18"/>
                <w:szCs w:val="18"/>
              </w:rPr>
            </w:r>
          </w:p>
        </w:tc>
        <w:tc>
          <w:tcPr>
            <w:tcW w:w="1697" w:type="dxa"/>
            <w:tcBorders>
              <w:left w:val="single" w:sz="4" w:space="0" w:color="000000"/>
              <w:bottom w:val="single" w:sz="4" w:space="0" w:color="000000"/>
            </w:tcBorders>
            <w:vAlign w:val="bottom"/>
          </w:tcPr>
          <w:p>
            <w:pPr>
              <w:pStyle w:val="Normal"/>
              <w:tabs>
                <w:tab w:val="clear" w:pos="720"/>
              </w:tabs>
              <w:jc w:val="left"/>
              <w:rPr>
                <w:sz w:val="18"/>
                <w:szCs w:val="18"/>
              </w:rPr>
            </w:pPr>
            <w:r>
              <w:rPr>
                <w:sz w:val="18"/>
                <w:szCs w:val="18"/>
              </w:rPr>
            </w:r>
          </w:p>
        </w:tc>
        <w:tc>
          <w:tcPr>
            <w:tcW w:w="1431" w:type="dxa"/>
            <w:tcBorders>
              <w:left w:val="single" w:sz="4" w:space="0" w:color="000000"/>
              <w:bottom w:val="single" w:sz="4" w:space="0" w:color="000000"/>
              <w:right w:val="single" w:sz="4" w:space="0" w:color="000000"/>
            </w:tcBorders>
            <w:vAlign w:val="bottom"/>
          </w:tcPr>
          <w:p>
            <w:pPr>
              <w:pStyle w:val="Normal"/>
              <w:tabs>
                <w:tab w:val="clear" w:pos="720"/>
              </w:tabs>
              <w:jc w:val="center"/>
              <w:rPr>
                <w:sz w:val="18"/>
                <w:szCs w:val="18"/>
              </w:rPr>
            </w:pPr>
            <w:r>
              <w:rPr>
                <w:b/>
                <w:sz w:val="18"/>
                <w:szCs w:val="18"/>
              </w:rPr>
              <w:t>26.544,56</w:t>
            </w:r>
          </w:p>
        </w:tc>
      </w:tr>
    </w:tbl>
    <w:p>
      <w:pPr>
        <w:pStyle w:val="Normal"/>
        <w:spacing w:lineRule="auto" w:line="360"/>
        <w:jc w:val="both"/>
        <w:rPr>
          <w:b/>
          <w:bCs/>
        </w:rPr>
      </w:pPr>
      <w:r>
        <w:rPr>
          <w:b/>
          <w:bCs/>
        </w:rPr>
      </w:r>
    </w:p>
    <w:tbl>
      <w:tblPr>
        <w:tblW w:w="8498" w:type="dxa"/>
        <w:jc w:val="left"/>
        <w:tblInd w:w="25" w:type="dxa"/>
        <w:tblLayout w:type="fixed"/>
        <w:tblCellMar>
          <w:top w:w="55" w:type="dxa"/>
          <w:left w:w="55" w:type="dxa"/>
          <w:bottom w:w="55" w:type="dxa"/>
          <w:right w:w="55" w:type="dxa"/>
        </w:tblCellMar>
      </w:tblPr>
      <w:tblGrid>
        <w:gridCol w:w="1448"/>
        <w:gridCol w:w="3921"/>
        <w:gridCol w:w="1697"/>
        <w:gridCol w:w="1431"/>
      </w:tblGrid>
      <w:tr>
        <w:trPr>
          <w:trHeight w:val="256" w:hRule="atLeast"/>
        </w:trPr>
        <w:tc>
          <w:tcPr>
            <w:tcW w:w="8497" w:type="dxa"/>
            <w:gridSpan w:val="4"/>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b/>
                <w:sz w:val="18"/>
                <w:szCs w:val="18"/>
              </w:rPr>
              <w:t>EVIDENCIJA PRIMLJENIH JAMSTVA</w:t>
            </w:r>
          </w:p>
        </w:tc>
      </w:tr>
      <w:tr>
        <w:trPr>
          <w:trHeight w:val="1156"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Popis </w:t>
              <w:br/>
              <w:t xml:space="preserve">primljenih </w:t>
              <w:br/>
              <w:t xml:space="preserve">instrumenata </w:t>
              <w:br/>
              <w:t xml:space="preserve">osiguranja </w:t>
              <w:br/>
              <w:t>plaćanja</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Temelj izdavanja</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Dobavljač </w:t>
              <w:br/>
              <w:t xml:space="preserve">Za isporučenu </w:t>
              <w:br/>
              <w:t>Robu/uslugu</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 xml:space="preserve">Iznos </w:t>
              <w:br/>
              <w:t xml:space="preserve">instrumenta </w:t>
              <w:br/>
              <w:t xml:space="preserve">osiguranja </w:t>
              <w:br/>
              <w:t>Plaćanja do</w:t>
            </w:r>
          </w:p>
        </w:tc>
      </w:tr>
      <w:tr>
        <w:trPr>
          <w:trHeight w:val="698" w:hRule="atLeast"/>
        </w:trPr>
        <w:tc>
          <w:tcPr>
            <w:tcW w:w="1448"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 xml:space="preserve">Primljene </w:t>
              <w:br/>
              <w:t xml:space="preserve">bjanko </w:t>
              <w:br/>
              <w:t>zadužnice</w:t>
            </w:r>
          </w:p>
        </w:tc>
        <w:tc>
          <w:tcPr>
            <w:tcW w:w="3921"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Ugovori</w:t>
            </w:r>
          </w:p>
        </w:tc>
        <w:tc>
          <w:tcPr>
            <w:tcW w:w="1697" w:type="dxa"/>
            <w:tcBorders>
              <w:left w:val="single" w:sz="4" w:space="0" w:color="000000"/>
              <w:bottom w:val="single" w:sz="4" w:space="0" w:color="000000"/>
            </w:tcBorders>
            <w:vAlign w:val="center"/>
          </w:tcPr>
          <w:p>
            <w:pPr>
              <w:pStyle w:val="Normal"/>
              <w:tabs>
                <w:tab w:val="clear" w:pos="720"/>
              </w:tabs>
              <w:jc w:val="center"/>
              <w:rPr>
                <w:sz w:val="18"/>
                <w:szCs w:val="18"/>
              </w:rPr>
            </w:pPr>
            <w:r>
              <w:rPr>
                <w:sz w:val="18"/>
                <w:szCs w:val="18"/>
              </w:rPr>
              <w:t>Razno</w:t>
            </w:r>
          </w:p>
        </w:tc>
        <w:tc>
          <w:tcPr>
            <w:tcW w:w="1431" w:type="dxa"/>
            <w:tcBorders>
              <w:left w:val="single" w:sz="4" w:space="0" w:color="000000"/>
              <w:bottom w:val="single" w:sz="4" w:space="0" w:color="000000"/>
              <w:right w:val="single" w:sz="4" w:space="0" w:color="000000"/>
            </w:tcBorders>
            <w:vAlign w:val="center"/>
          </w:tcPr>
          <w:p>
            <w:pPr>
              <w:pStyle w:val="Normal"/>
              <w:tabs>
                <w:tab w:val="clear" w:pos="720"/>
              </w:tabs>
              <w:jc w:val="center"/>
              <w:rPr>
                <w:sz w:val="18"/>
                <w:szCs w:val="18"/>
              </w:rPr>
            </w:pPr>
            <w:r>
              <w:rPr>
                <w:sz w:val="18"/>
                <w:szCs w:val="18"/>
              </w:rPr>
              <w:t>136.778,60</w:t>
            </w:r>
          </w:p>
        </w:tc>
      </w:tr>
      <w:tr>
        <w:trPr>
          <w:trHeight w:val="256" w:hRule="atLeast"/>
        </w:trPr>
        <w:tc>
          <w:tcPr>
            <w:tcW w:w="1448" w:type="dxa"/>
            <w:tcBorders>
              <w:left w:val="single" w:sz="4" w:space="0" w:color="000000"/>
              <w:bottom w:val="single" w:sz="4" w:space="0" w:color="000000"/>
            </w:tcBorders>
            <w:vAlign w:val="bottom"/>
          </w:tcPr>
          <w:p>
            <w:pPr>
              <w:pStyle w:val="Normal"/>
              <w:tabs>
                <w:tab w:val="clear" w:pos="720"/>
              </w:tabs>
              <w:jc w:val="center"/>
              <w:rPr>
                <w:sz w:val="18"/>
                <w:szCs w:val="18"/>
              </w:rPr>
            </w:pPr>
            <w:r>
              <w:rPr>
                <w:b/>
                <w:sz w:val="18"/>
                <w:szCs w:val="18"/>
              </w:rPr>
              <w:t>UKUPNO:</w:t>
            </w:r>
          </w:p>
        </w:tc>
        <w:tc>
          <w:tcPr>
            <w:tcW w:w="3921" w:type="dxa"/>
            <w:tcBorders>
              <w:left w:val="single" w:sz="4" w:space="0" w:color="000000"/>
              <w:bottom w:val="single" w:sz="4" w:space="0" w:color="000000"/>
            </w:tcBorders>
            <w:vAlign w:val="bottom"/>
          </w:tcPr>
          <w:p>
            <w:pPr>
              <w:pStyle w:val="Normal"/>
              <w:tabs>
                <w:tab w:val="clear" w:pos="720"/>
              </w:tabs>
              <w:jc w:val="left"/>
              <w:rPr>
                <w:b/>
                <w:sz w:val="18"/>
                <w:szCs w:val="18"/>
              </w:rPr>
            </w:pPr>
            <w:r>
              <w:rPr>
                <w:b/>
                <w:sz w:val="18"/>
                <w:szCs w:val="18"/>
              </w:rPr>
            </w:r>
          </w:p>
        </w:tc>
        <w:tc>
          <w:tcPr>
            <w:tcW w:w="1697" w:type="dxa"/>
            <w:tcBorders>
              <w:left w:val="single" w:sz="4" w:space="0" w:color="000000"/>
              <w:bottom w:val="single" w:sz="4" w:space="0" w:color="000000"/>
            </w:tcBorders>
            <w:vAlign w:val="bottom"/>
          </w:tcPr>
          <w:p>
            <w:pPr>
              <w:pStyle w:val="Normal"/>
              <w:tabs>
                <w:tab w:val="clear" w:pos="720"/>
              </w:tabs>
              <w:jc w:val="left"/>
              <w:rPr>
                <w:sz w:val="18"/>
                <w:szCs w:val="18"/>
              </w:rPr>
            </w:pPr>
            <w:r>
              <w:rPr>
                <w:sz w:val="18"/>
                <w:szCs w:val="18"/>
              </w:rPr>
            </w:r>
          </w:p>
        </w:tc>
        <w:tc>
          <w:tcPr>
            <w:tcW w:w="1431" w:type="dxa"/>
            <w:tcBorders>
              <w:left w:val="single" w:sz="4" w:space="0" w:color="000000"/>
              <w:bottom w:val="single" w:sz="4" w:space="0" w:color="000000"/>
              <w:right w:val="single" w:sz="4" w:space="0" w:color="000000"/>
            </w:tcBorders>
            <w:vAlign w:val="bottom"/>
          </w:tcPr>
          <w:p>
            <w:pPr>
              <w:pStyle w:val="Normal"/>
              <w:tabs>
                <w:tab w:val="clear" w:pos="720"/>
              </w:tabs>
              <w:jc w:val="center"/>
              <w:rPr>
                <w:sz w:val="18"/>
                <w:szCs w:val="18"/>
              </w:rPr>
            </w:pPr>
            <w:r>
              <w:rPr>
                <w:b/>
                <w:sz w:val="18"/>
                <w:szCs w:val="18"/>
              </w:rPr>
              <w:t>136.778,60</w:t>
            </w:r>
          </w:p>
        </w:tc>
      </w:tr>
    </w:tbl>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b/>
          <w:bCs/>
        </w:rPr>
      </w:pPr>
      <w:r>
        <w:rPr>
          <w:b/>
          <w:bCs/>
        </w:rPr>
      </w:r>
    </w:p>
    <w:p>
      <w:pPr>
        <w:pStyle w:val="Normal"/>
        <w:spacing w:lineRule="auto" w:line="360"/>
        <w:jc w:val="both"/>
        <w:rPr/>
      </w:pPr>
      <w:r>
        <w:rPr>
          <w:b/>
          <w:bCs/>
        </w:rPr>
        <w:t>ZAKLJUČAK</w:t>
      </w:r>
    </w:p>
    <w:p>
      <w:pPr>
        <w:pStyle w:val="Normal"/>
        <w:spacing w:lineRule="auto" w:line="360" w:before="280" w:after="280"/>
        <w:jc w:val="both"/>
        <w:rPr>
          <w:highlight w:val="none"/>
          <w:shd w:fill="auto" w:val="clear"/>
        </w:rPr>
      </w:pPr>
      <w:r>
        <w:rPr>
          <w:sz w:val="22"/>
          <w:szCs w:val="22"/>
          <w:shd w:fill="auto" w:val="clear"/>
          <w:lang w:eastAsia="hr-HR"/>
        </w:rPr>
        <w:t>Opća i veteranska bolnica "Hrvatski ponos" Knin je javna ustanova koja obavlja zdravstvenu djelatnost sukladno Zakonu o zdravstvenoj zaštiti. U skladu s mrežom  javne zdravstvene službe (Narodne novine, br. 113/15), ugovoreno je 173 postelje za zdravstvenu ustanovu, od toga su: 46 akutne postelje, 116 postelja za produženo, dugotrajno i kronično liječenje te palijativnu skrb i 11 stolaca/postelja dnevne bolnice.</w:t>
      </w:r>
    </w:p>
    <w:p>
      <w:pPr>
        <w:pStyle w:val="Normal"/>
        <w:spacing w:lineRule="auto" w:line="360"/>
        <w:jc w:val="both"/>
        <w:rPr>
          <w:sz w:val="22"/>
          <w:szCs w:val="22"/>
        </w:rPr>
      </w:pPr>
      <w:r>
        <w:rPr>
          <w:sz w:val="22"/>
          <w:szCs w:val="22"/>
        </w:rPr>
        <w:t xml:space="preserve">Bolnica u kontinuitetu provodi mjere racionalizacije, koje uključuju štednju te odgovornu i racionalnu politiku poslovanja. Dodatna pažnja posvetit će se poboljšanju kvalitete upravljanja u bolnici radi povećanja učinkovitosti i djelotvornosti u korištenju ograničenih ljudskih i financijskih resursa. </w:t>
      </w:r>
    </w:p>
    <w:p>
      <w:pPr>
        <w:pStyle w:val="Normal"/>
        <w:spacing w:lineRule="auto" w:line="360"/>
        <w:jc w:val="both"/>
        <w:rPr>
          <w:sz w:val="22"/>
          <w:szCs w:val="22"/>
        </w:rPr>
      </w:pPr>
      <w:r>
        <w:rPr>
          <w:sz w:val="22"/>
          <w:szCs w:val="22"/>
        </w:rPr>
        <w:t xml:space="preserve">Prioriteti politike na području zdravstvene zaštite moraju biti vođeni načelima održivosti te pravednosti u osiguranju skrbi, a usmjereni su na postizanje optimalnih ishoda i zadovoljstva svih dionika. U prvom redu navedeno se odnosi na unapređenje zdravstvenih ishoda i ostvarivanje ravnoteže između financijskih mogućnosti i rastućih troškova povezanih s novim i naprednijim metodama liječenja zbog tehnološkog i znanstvenog napretka, ali i povećane potražnje za zdravstvenom zaštitom zbog starenja stanovništva.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 xml:space="preserve">Uz osiguranje dostupnosti sofisticirane opreme i suvremenih lijekova, znanje i rad medicinskog osoblja ključan su preduvjet funkcioniranja poslovanja bolnice. Navedeno je u skladu s načelima sveobuhvatnog nacionalnog plana jačanja ljudskih resursa u zdravstvu radi prilagođenosti i usklađenosti obrazovnih programa i potreba medicinskih ustanova, uz poseban naglasak na cjeloživotni razvoj stručnih kompetencija. Sve navedeno vodi povećanju broja pacijenata koji su zadovoljni kvalitetom pružene usluge, smanjenju smrtnosti i povećanju kvalitete života. </w:t>
      </w:r>
    </w:p>
    <w:p>
      <w:pPr>
        <w:pStyle w:val="Normal"/>
        <w:spacing w:lineRule="auto" w:line="360"/>
        <w:jc w:val="both"/>
        <w:rPr>
          <w:sz w:val="22"/>
          <w:szCs w:val="22"/>
        </w:rPr>
      </w:pPr>
      <w:r>
        <w:rPr>
          <w:sz w:val="22"/>
          <w:szCs w:val="22"/>
        </w:rPr>
      </w:r>
    </w:p>
    <w:p>
      <w:pPr>
        <w:pStyle w:val="Normal"/>
        <w:spacing w:lineRule="auto" w:line="360"/>
        <w:jc w:val="both"/>
        <w:rPr>
          <w:sz w:val="22"/>
          <w:szCs w:val="22"/>
        </w:rPr>
      </w:pPr>
      <w:r>
        <w:rPr>
          <w:sz w:val="22"/>
          <w:szCs w:val="22"/>
        </w:rPr>
        <w:t xml:space="preserve">Kontinuirano sudjelujemo u provođenju preventivnih zdravstvenih programa, provedbi edukacija građana o važnosti preventivnosti te aktivnosti sa ciljem povećanja dostupnosti kvalitetnih zdravstvenih usluga. Dostupnost, kvaliteta i učinkovitost zdravstvene zaštite osnovne su vrijednosti modernih zdravstvenih sustava te su nukleus svih promišljanja o budućim koracima u razvoju bolnice koje ćemo poduzimati u suradnji s pacijentima kao korisnicima usluga. </w:t>
      </w:r>
    </w:p>
    <w:p>
      <w:pPr>
        <w:pStyle w:val="Normal"/>
        <w:spacing w:lineRule="auto" w:line="360"/>
        <w:jc w:val="both"/>
        <w:rPr>
          <w:sz w:val="22"/>
          <w:szCs w:val="22"/>
        </w:rPr>
      </w:pPr>
      <w:r>
        <w:rPr>
          <w:sz w:val="22"/>
          <w:szCs w:val="22"/>
        </w:rPr>
      </w:r>
    </w:p>
    <w:p>
      <w:pPr>
        <w:pStyle w:val="Normal"/>
        <w:tabs>
          <w:tab w:val="clear" w:pos="720"/>
          <w:tab w:val="left" w:pos="251" w:leader="none"/>
          <w:tab w:val="right" w:pos="9360" w:leader="none"/>
        </w:tabs>
        <w:spacing w:lineRule="auto" w:line="360"/>
        <w:rPr>
          <w:highlight w:val="none"/>
          <w:shd w:fill="auto" w:val="clear"/>
        </w:rPr>
      </w:pPr>
      <w:r>
        <w:rPr>
          <w:sz w:val="22"/>
          <w:szCs w:val="22"/>
          <w:shd w:fill="auto" w:val="clear"/>
        </w:rPr>
        <w:t>KLASA: 400-01/25-01/04</w:t>
        <w:tab/>
        <w:t xml:space="preserve">Ravnateljica:       </w:t>
      </w:r>
    </w:p>
    <w:p>
      <w:pPr>
        <w:pStyle w:val="Normal"/>
        <w:tabs>
          <w:tab w:val="clear" w:pos="720"/>
          <w:tab w:val="left" w:pos="251" w:leader="none"/>
          <w:tab w:val="right" w:pos="9360" w:leader="none"/>
        </w:tabs>
        <w:spacing w:lineRule="auto" w:line="360"/>
        <w:rPr>
          <w:sz w:val="22"/>
          <w:szCs w:val="22"/>
        </w:rPr>
      </w:pPr>
      <w:r>
        <w:rPr>
          <w:sz w:val="22"/>
          <w:szCs w:val="22"/>
          <w:shd w:fill="auto" w:val="clear"/>
        </w:rPr>
        <w:t xml:space="preserve">Ur.broj: 2182-10-17/01-26-4         </w:t>
      </w:r>
      <w:r>
        <w:rPr>
          <w:sz w:val="22"/>
          <w:szCs w:val="22"/>
        </w:rPr>
        <w:t xml:space="preserve">                                                                                                               </w:t>
      </w:r>
    </w:p>
    <w:p>
      <w:pPr>
        <w:pStyle w:val="Normal"/>
        <w:tabs>
          <w:tab w:val="clear" w:pos="720"/>
          <w:tab w:val="left" w:pos="251" w:leader="none"/>
          <w:tab w:val="right" w:pos="9360" w:leader="none"/>
        </w:tabs>
        <w:spacing w:lineRule="auto" w:line="360"/>
        <w:rPr>
          <w:sz w:val="22"/>
          <w:szCs w:val="22"/>
        </w:rPr>
      </w:pPr>
      <w:r>
        <w:rPr>
          <w:sz w:val="22"/>
          <w:szCs w:val="22"/>
        </w:rPr>
        <w:t xml:space="preserve">Knin, 06.03.2026. </w:t>
        <w:tab/>
        <w:t xml:space="preserve">                                                                        Tatijana Šipalo Lilić, dr.med.</w:t>
      </w:r>
    </w:p>
    <w:p>
      <w:pPr>
        <w:pStyle w:val="Normal"/>
        <w:spacing w:lineRule="auto" w:line="360"/>
        <w:jc w:val="right"/>
        <w:rPr>
          <w:sz w:val="22"/>
          <w:szCs w:val="22"/>
        </w:rPr>
      </w:pPr>
      <w:r>
        <w:rPr>
          <w:sz w:val="22"/>
          <w:szCs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Black">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3a04"/>
    <w:pPr>
      <w:widowControl/>
      <w:suppressAutoHyphens w:val="true"/>
      <w:bidi w:val="0"/>
      <w:spacing w:before="0" w:after="0"/>
      <w:jc w:val="left"/>
    </w:pPr>
    <w:rPr>
      <w:rFonts w:ascii="Times New Roman" w:hAnsi="Times New Roman" w:eastAsia="Times New Roman" w:cs="Times New Roman"/>
      <w:color w:val="auto"/>
      <w:kern w:val="0"/>
      <w:sz w:val="24"/>
      <w:szCs w:val="24"/>
      <w:lang w:val="hr-HR" w:eastAsia="ar-SA" w:bidi="ar-SA"/>
    </w:rPr>
  </w:style>
  <w:style w:type="paragraph" w:styleId="Heading1">
    <w:name w:val="Heading 1"/>
    <w:basedOn w:val="Normal"/>
    <w:next w:val="Normal"/>
    <w:qFormat/>
    <w:pPr>
      <w:keepNext w:val="true"/>
      <w:keepLines/>
      <w:numPr>
        <w:ilvl w:val="0"/>
        <w:numId w:val="1"/>
      </w:numPr>
      <w:spacing w:before="0" w:after="0"/>
      <w:outlineLvl w:val="0"/>
    </w:pPr>
    <w:rPr>
      <w:rFonts w:ascii="Cambria" w:hAnsi="Cambria" w:eastAsia="Times New Roman" w:cs="Times New Roman"/>
      <w:b/>
      <w:bCs/>
      <w:color w:val="365F91"/>
      <w:sz w:val="28"/>
      <w:szCs w:val="28"/>
    </w:rPr>
  </w:style>
  <w:style w:type="paragraph" w:styleId="Heading2">
    <w:name w:val="Heading 2"/>
    <w:basedOn w:val="Normal"/>
    <w:next w:val="Normal"/>
    <w:qFormat/>
    <w:rsid w:val="00e107fd"/>
    <w:pPr>
      <w:keepNext w:val="true"/>
      <w:keepLines/>
      <w:pBdr>
        <w:top w:val="single" w:sz="4" w:space="1" w:color="000000"/>
        <w:bottom w:val="single" w:sz="4" w:space="1" w:color="000000"/>
      </w:pBdr>
      <w:shd w:val="clear" w:color="auto" w:fill="E6E6E6"/>
      <w:outlineLvl w:val="1"/>
    </w:pPr>
    <w:rPr>
      <w:b/>
      <w:spacing w:val="20"/>
      <w:sz w:val="30"/>
      <w:szCs w:val="30"/>
    </w:rPr>
  </w:style>
  <w:style w:type="paragraph" w:styleId="Heading3">
    <w:name w:val="Heading 3"/>
    <w:basedOn w:val="Normal"/>
    <w:next w:val="Normal"/>
    <w:qFormat/>
    <w:rsid w:val="00e107fd"/>
    <w:pPr>
      <w:keepNext w:val="true"/>
      <w:keepLines/>
      <w:pBdr>
        <w:top w:val="single" w:sz="4" w:space="1" w:color="000000"/>
        <w:bottom w:val="single" w:sz="4" w:space="1" w:color="000000"/>
      </w:pBdr>
      <w:shd w:val="clear" w:color="auto" w:fill="E6E6E6"/>
      <w:overflowPunct w:val="true"/>
      <w:spacing w:lineRule="auto" w:line="288"/>
      <w:outlineLvl w:val="2"/>
    </w:pPr>
    <w:rPr>
      <w:rFonts w:cs="Arial"/>
      <w:b/>
      <w:iCs/>
      <w:spacing w:val="20"/>
      <w:sz w:val="28"/>
      <w:szCs w:val="28"/>
    </w:rPr>
  </w:style>
  <w:style w:type="paragraph" w:styleId="Heading8">
    <w:name w:val="Heading 8"/>
    <w:basedOn w:val="Normal6"/>
    <w:next w:val="Normal"/>
    <w:qFormat/>
    <w:rsid w:val="00e107fd"/>
    <w:pPr>
      <w:keepNext w:val="true"/>
      <w:keepLines/>
      <w:ind w:left="0"/>
      <w:outlineLvl w:val="7"/>
    </w:pPr>
    <w:rPr>
      <w:b/>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86461"/>
    <w:rPr>
      <w:color w:val="0000FF"/>
      <w:u w:val="single"/>
    </w:rPr>
  </w:style>
  <w:style w:type="character" w:styleId="FollowedHyperlink">
    <w:name w:val="FollowedHyperlink"/>
    <w:basedOn w:val="DefaultParagraphFont"/>
    <w:uiPriority w:val="99"/>
    <w:semiHidden/>
    <w:unhideWhenUsed/>
    <w:rsid w:val="00486461"/>
    <w:rPr>
      <w:color w:val="800080"/>
      <w:u w:val="single"/>
    </w:rPr>
  </w:style>
  <w:style w:type="character" w:styleId="UnresolvedMention" w:customStyle="1">
    <w:name w:val="Unresolved Mention"/>
    <w:basedOn w:val="DefaultParagraphFont"/>
    <w:uiPriority w:val="99"/>
    <w:semiHidden/>
    <w:unhideWhenUsed/>
    <w:qFormat/>
    <w:rsid w:val="00274805"/>
    <w:rPr>
      <w:color w:val="605E5C"/>
      <w:shd w:fill="E1DFDD" w:val="clear"/>
    </w:rPr>
  </w:style>
  <w:style w:type="character" w:styleId="HeaderChar" w:customStyle="1">
    <w:name w:val="Header Char"/>
    <w:basedOn w:val="DefaultParagraphFont"/>
    <w:link w:val="Header"/>
    <w:uiPriority w:val="99"/>
    <w:qFormat/>
    <w:rsid w:val="00c37e6b"/>
    <w:rPr>
      <w:rFonts w:ascii="Times New Roman" w:hAnsi="Times New Roman" w:eastAsia="Times New Roman" w:cs="Times New Roman"/>
      <w:sz w:val="24"/>
      <w:szCs w:val="24"/>
      <w:lang w:val="hr-HR" w:eastAsia="ar-SA"/>
    </w:rPr>
  </w:style>
  <w:style w:type="character" w:styleId="FooterChar" w:customStyle="1">
    <w:name w:val="Footer Char"/>
    <w:basedOn w:val="DefaultParagraphFont"/>
    <w:link w:val="Footer"/>
    <w:uiPriority w:val="99"/>
    <w:qFormat/>
    <w:rsid w:val="00c37e6b"/>
    <w:rPr>
      <w:rFonts w:ascii="Times New Roman" w:hAnsi="Times New Roman" w:eastAsia="Times New Roman" w:cs="Times New Roman"/>
      <w:sz w:val="24"/>
      <w:szCs w:val="24"/>
      <w:lang w:val="hr-HR" w:eastAsia="ar-SA"/>
    </w:rPr>
  </w:style>
  <w:style w:type="character" w:styleId="BalloonTextChar" w:customStyle="1">
    <w:name w:val="Balloon Text Char"/>
    <w:basedOn w:val="DefaultParagraphFont"/>
    <w:link w:val="BalloonText"/>
    <w:uiPriority w:val="99"/>
    <w:semiHidden/>
    <w:qFormat/>
    <w:rsid w:val="009e205c"/>
    <w:rPr>
      <w:rFonts w:ascii="Tahoma" w:hAnsi="Tahoma" w:eastAsia="Times New Roman" w:cs="Tahoma"/>
      <w:sz w:val="16"/>
      <w:szCs w:val="16"/>
      <w:lang w:val="hr-HR" w:eastAsia="ar-SA"/>
    </w:rPr>
  </w:style>
  <w:style w:type="character" w:styleId="Linenumber">
    <w:name w:val="line number"/>
    <w:qFormat/>
    <w:rsid w:val="00e107fd"/>
    <w:rPr/>
  </w:style>
  <w:style w:type="character" w:styleId="WW8Num4z0" w:customStyle="1">
    <w:name w:val="WW8Num4z0"/>
    <w:qFormat/>
    <w:rsid w:val="00e107fd"/>
    <w:rPr>
      <w:rFonts w:ascii="Symbol" w:hAnsi="Symbol" w:cs="OpenSymbol;Arial Unicode MS"/>
      <w:sz w:val="24"/>
      <w:szCs w:val="24"/>
      <w:lang w:eastAsia="hr-HR"/>
    </w:rPr>
  </w:style>
  <w:style w:type="character" w:styleId="WW8Num4z1" w:customStyle="1">
    <w:name w:val="WW8Num4z1"/>
    <w:qFormat/>
    <w:rsid w:val="00e107fd"/>
    <w:rPr>
      <w:rFonts w:ascii="OpenSymbol;Arial Unicode MS" w:hAnsi="OpenSymbol;Arial Unicode MS" w:cs="OpenSymbol;Arial Unicode MS"/>
    </w:rPr>
  </w:style>
  <w:style w:type="character" w:styleId="WW8Num5z0" w:customStyle="1">
    <w:name w:val="WW8Num5z0"/>
    <w:qFormat/>
    <w:rsid w:val="00e107fd"/>
    <w:rPr>
      <w:rFonts w:ascii="Symbol" w:hAnsi="Symbol" w:cs="OpenSymbol;Arial Unicode MS"/>
      <w:sz w:val="24"/>
      <w:szCs w:val="24"/>
      <w:lang w:val="hr-HR" w:eastAsia="hr-HR" w:bidi="ar-SA"/>
    </w:rPr>
  </w:style>
  <w:style w:type="character" w:styleId="WW8Num5z1" w:customStyle="1">
    <w:name w:val="WW8Num5z1"/>
    <w:qFormat/>
    <w:rsid w:val="00e107fd"/>
    <w:rPr>
      <w:rFonts w:ascii="OpenSymbol;Arial Unicode MS" w:hAnsi="OpenSymbol;Arial Unicode MS" w:cs="OpenSymbol;Arial Unicode MS"/>
    </w:rPr>
  </w:style>
  <w:style w:type="character" w:styleId="WW8Num2z0">
    <w:name w:val="WW8Num2z0"/>
    <w:qFormat/>
    <w:rPr>
      <w:rFonts w:ascii="Calibri" w:hAnsi="Calibri" w:cs="Times New Roman"/>
    </w:rPr>
  </w:style>
  <w:style w:type="paragraph" w:styleId="Heading" w:customStyle="1">
    <w:name w:val="Heading"/>
    <w:basedOn w:val="Normal"/>
    <w:next w:val="BodyText"/>
    <w:qFormat/>
    <w:rsid w:val="00e107fd"/>
    <w:pPr>
      <w:keepNext w:val="true"/>
      <w:spacing w:before="240" w:after="120"/>
    </w:pPr>
    <w:rPr>
      <w:rFonts w:ascii="Liberation Sans" w:hAnsi="Liberation Sans" w:eastAsia="Microsoft YaHei" w:cs="Mangal"/>
      <w:sz w:val="28"/>
      <w:szCs w:val="28"/>
    </w:rPr>
  </w:style>
  <w:style w:type="paragraph" w:styleId="BodyText">
    <w:name w:val="Body Text"/>
    <w:basedOn w:val="Normal"/>
    <w:rsid w:val="00e107fd"/>
    <w:pPr>
      <w:spacing w:lineRule="auto" w:line="276" w:before="0" w:after="140"/>
    </w:pPr>
    <w:rPr/>
  </w:style>
  <w:style w:type="paragraph" w:styleId="List">
    <w:name w:val="List"/>
    <w:basedOn w:val="BodyText"/>
    <w:rsid w:val="00e107fd"/>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rsid w:val="00e107fd"/>
    <w:pPr>
      <w:suppressLineNumbers/>
    </w:pPr>
    <w:rPr>
      <w:rFonts w:cs="Mangal"/>
    </w:rPr>
  </w:style>
  <w:style w:type="paragraph" w:styleId="Caption1">
    <w:name w:val="caption1"/>
    <w:basedOn w:val="Normal"/>
    <w:qFormat/>
    <w:rsid w:val="00e107fd"/>
    <w:pPr>
      <w:suppressLineNumbers/>
      <w:spacing w:before="120" w:after="120"/>
    </w:pPr>
    <w:rPr>
      <w:rFonts w:cs="Mangal"/>
      <w:i/>
      <w:iCs/>
    </w:rPr>
  </w:style>
  <w:style w:type="paragraph" w:styleId="ListParagraph">
    <w:name w:val="List Paragraph"/>
    <w:basedOn w:val="Normal"/>
    <w:uiPriority w:val="34"/>
    <w:qFormat/>
    <w:rsid w:val="00d953c8"/>
    <w:pPr>
      <w:spacing w:before="0" w:after="0"/>
      <w:ind w:left="720"/>
      <w:contextualSpacing/>
    </w:pPr>
    <w:rPr/>
  </w:style>
  <w:style w:type="paragraph" w:styleId="Msonormal" w:customStyle="1">
    <w:name w:val="msonormal"/>
    <w:basedOn w:val="Normal"/>
    <w:qFormat/>
    <w:rsid w:val="00486461"/>
    <w:pPr>
      <w:suppressAutoHyphens w:val="false"/>
      <w:spacing w:beforeAutospacing="1" w:afterAutospacing="1"/>
    </w:pPr>
    <w:rPr>
      <w:lang w:val="en-US" w:eastAsia="en-US"/>
    </w:rPr>
  </w:style>
  <w:style w:type="paragraph" w:styleId="Xl26055" w:customStyle="1">
    <w:name w:val="xl26055"/>
    <w:basedOn w:val="Normal"/>
    <w:qFormat/>
    <w:rsid w:val="00486461"/>
    <w:pPr>
      <w:suppressAutoHyphens w:val="false"/>
      <w:spacing w:beforeAutospacing="1" w:afterAutospacing="1"/>
    </w:pPr>
    <w:rPr>
      <w:b/>
      <w:bCs/>
      <w:sz w:val="18"/>
      <w:szCs w:val="18"/>
      <w:lang w:val="en-US" w:eastAsia="en-US"/>
    </w:rPr>
  </w:style>
  <w:style w:type="paragraph" w:styleId="Xl26056" w:customStyle="1">
    <w:name w:val="xl26056"/>
    <w:basedOn w:val="Normal"/>
    <w:qFormat/>
    <w:rsid w:val="00486461"/>
    <w:pPr>
      <w:suppressAutoHyphens w:val="false"/>
      <w:spacing w:beforeAutospacing="1" w:afterAutospacing="1"/>
    </w:pPr>
    <w:rPr>
      <w:sz w:val="18"/>
      <w:szCs w:val="18"/>
      <w:lang w:val="en-US" w:eastAsia="en-US"/>
    </w:rPr>
  </w:style>
  <w:style w:type="paragraph" w:styleId="Xl26057" w:customStyle="1">
    <w:name w:val="xl26057"/>
    <w:basedOn w:val="Normal"/>
    <w:qFormat/>
    <w:rsid w:val="00486461"/>
    <w:pPr>
      <w:suppressAutoHyphens w:val="false"/>
      <w:spacing w:beforeAutospacing="1" w:afterAutospacing="1"/>
    </w:pPr>
    <w:rPr>
      <w:sz w:val="18"/>
      <w:szCs w:val="18"/>
      <w:lang w:val="en-US" w:eastAsia="en-US"/>
    </w:rPr>
  </w:style>
  <w:style w:type="paragraph" w:styleId="Xl26058" w:customStyle="1">
    <w:name w:val="xl26058"/>
    <w:basedOn w:val="Normal"/>
    <w:qFormat/>
    <w:rsid w:val="00486461"/>
    <w:pPr>
      <w:suppressAutoHyphens w:val="false"/>
      <w:spacing w:beforeAutospacing="1" w:afterAutospacing="1"/>
    </w:pPr>
    <w:rPr>
      <w:color w:val="FF0000"/>
      <w:sz w:val="18"/>
      <w:szCs w:val="18"/>
      <w:lang w:val="en-US" w:eastAsia="en-US"/>
    </w:rPr>
  </w:style>
  <w:style w:type="paragraph" w:styleId="Xl26059" w:customStyle="1">
    <w:name w:val="xl26059"/>
    <w:basedOn w:val="Normal"/>
    <w:qFormat/>
    <w:rsid w:val="00486461"/>
    <w:pPr>
      <w:suppressAutoHyphens w:val="false"/>
      <w:spacing w:beforeAutospacing="1" w:afterAutospacing="1"/>
    </w:pPr>
    <w:rPr>
      <w:b/>
      <w:bCs/>
      <w:color w:val="FF0000"/>
      <w:sz w:val="18"/>
      <w:szCs w:val="18"/>
      <w:lang w:val="en-US" w:eastAsia="en-US"/>
    </w:rPr>
  </w:style>
  <w:style w:type="paragraph" w:styleId="Xl26060" w:customStyle="1">
    <w:name w:val="xl26060"/>
    <w:basedOn w:val="Normal"/>
    <w:qFormat/>
    <w:rsid w:val="00486461"/>
    <w:pPr>
      <w:suppressAutoHyphens w:val="false"/>
      <w:spacing w:beforeAutospacing="1" w:afterAutospacing="1"/>
    </w:pPr>
    <w:rPr>
      <w:color w:val="FF0000"/>
      <w:sz w:val="18"/>
      <w:szCs w:val="18"/>
      <w:lang w:val="en-US" w:eastAsia="en-US"/>
    </w:rPr>
  </w:style>
  <w:style w:type="paragraph" w:styleId="Xl26061" w:customStyle="1">
    <w:name w:val="xl26061"/>
    <w:basedOn w:val="Normal"/>
    <w:qFormat/>
    <w:rsid w:val="00486461"/>
    <w:pPr>
      <w:suppressAutoHyphens w:val="false"/>
      <w:spacing w:beforeAutospacing="1" w:afterAutospacing="1"/>
    </w:pPr>
    <w:rPr>
      <w:sz w:val="18"/>
      <w:szCs w:val="18"/>
      <w:lang w:val="en-US" w:eastAsia="en-US"/>
    </w:rPr>
  </w:style>
  <w:style w:type="paragraph" w:styleId="Xl26062" w:customStyle="1">
    <w:name w:val="xl26062"/>
    <w:basedOn w:val="Normal"/>
    <w:qFormat/>
    <w:rsid w:val="00486461"/>
    <w:pPr>
      <w:suppressAutoHyphens w:val="false"/>
      <w:spacing w:beforeAutospacing="1" w:afterAutospacing="1"/>
    </w:pPr>
    <w:rPr>
      <w:rFonts w:ascii="Calibri" w:hAnsi="Calibri" w:cs="Calibri"/>
      <w:b/>
      <w:bCs/>
      <w:color w:val="FF0000"/>
      <w:sz w:val="18"/>
      <w:szCs w:val="18"/>
      <w:lang w:val="en-US" w:eastAsia="en-US"/>
    </w:rPr>
  </w:style>
  <w:style w:type="paragraph" w:styleId="Xl26063" w:customStyle="1">
    <w:name w:val="xl26063"/>
    <w:basedOn w:val="Normal"/>
    <w:qFormat/>
    <w:rsid w:val="00486461"/>
    <w:pPr>
      <w:pBdr>
        <w:top w:val="single" w:sz="4" w:space="0" w:color="000000"/>
        <w:left w:val="single" w:sz="4" w:space="0" w:color="000000"/>
        <w:bottom w:val="single" w:sz="4" w:space="0" w:color="000000"/>
        <w:right w:val="single" w:sz="4" w:space="0" w:color="000000"/>
      </w:pBdr>
      <w:shd w:val="clear" w:color="000000" w:fill="505050"/>
      <w:suppressAutoHyphens w:val="false"/>
      <w:spacing w:beforeAutospacing="1" w:afterAutospacing="1"/>
    </w:pPr>
    <w:rPr>
      <w:b/>
      <w:bCs/>
      <w:color w:val="FFFFFF"/>
      <w:sz w:val="18"/>
      <w:szCs w:val="18"/>
      <w:lang w:val="en-US" w:eastAsia="en-US"/>
    </w:rPr>
  </w:style>
  <w:style w:type="paragraph" w:styleId="Xl26064" w:customStyle="1">
    <w:name w:val="xl26064"/>
    <w:basedOn w:val="Normal"/>
    <w:qFormat/>
    <w:rsid w:val="00486461"/>
    <w:pPr>
      <w:pBdr>
        <w:top w:val="single" w:sz="4" w:space="0" w:color="000000"/>
        <w:left w:val="single" w:sz="4" w:space="0" w:color="000000"/>
        <w:bottom w:val="single" w:sz="4" w:space="0" w:color="000000"/>
        <w:right w:val="single" w:sz="4" w:space="0" w:color="000000"/>
      </w:pBdr>
      <w:shd w:val="clear" w:color="000000" w:fill="505050"/>
      <w:suppressAutoHyphens w:val="false"/>
      <w:spacing w:beforeAutospacing="1" w:afterAutospacing="1"/>
    </w:pPr>
    <w:rPr>
      <w:b/>
      <w:bCs/>
      <w:color w:val="FFFFFF"/>
      <w:sz w:val="18"/>
      <w:szCs w:val="18"/>
      <w:lang w:val="en-US" w:eastAsia="en-US"/>
    </w:rPr>
  </w:style>
  <w:style w:type="paragraph" w:styleId="Xl26065" w:customStyle="1">
    <w:name w:val="xl26065"/>
    <w:basedOn w:val="Normal"/>
    <w:qFormat/>
    <w:rsid w:val="00486461"/>
    <w:pPr>
      <w:pBdr>
        <w:top w:val="single" w:sz="4" w:space="0" w:color="000000"/>
        <w:left w:val="single" w:sz="4" w:space="0" w:color="000000"/>
        <w:bottom w:val="single" w:sz="4" w:space="0" w:color="000000"/>
        <w:right w:val="single" w:sz="4" w:space="0" w:color="000000"/>
      </w:pBdr>
      <w:shd w:val="clear" w:color="000000" w:fill="000080"/>
      <w:suppressAutoHyphens w:val="false"/>
      <w:spacing w:beforeAutospacing="1" w:afterAutospacing="1"/>
    </w:pPr>
    <w:rPr>
      <w:b/>
      <w:bCs/>
      <w:color w:val="FFFFFF"/>
      <w:sz w:val="18"/>
      <w:szCs w:val="18"/>
      <w:lang w:val="en-US" w:eastAsia="en-US"/>
    </w:rPr>
  </w:style>
  <w:style w:type="paragraph" w:styleId="Xl26066" w:customStyle="1">
    <w:name w:val="xl26066"/>
    <w:basedOn w:val="Normal"/>
    <w:qFormat/>
    <w:rsid w:val="00486461"/>
    <w:pPr>
      <w:pBdr>
        <w:top w:val="single" w:sz="4" w:space="0" w:color="000000"/>
        <w:left w:val="single" w:sz="4" w:space="0" w:color="000000"/>
        <w:bottom w:val="single" w:sz="4" w:space="0" w:color="000000"/>
        <w:right w:val="single" w:sz="4" w:space="0" w:color="000000"/>
      </w:pBdr>
      <w:shd w:val="clear" w:color="000000" w:fill="14148A"/>
      <w:suppressAutoHyphens w:val="false"/>
      <w:spacing w:beforeAutospacing="1" w:afterAutospacing="1"/>
    </w:pPr>
    <w:rPr>
      <w:b/>
      <w:bCs/>
      <w:color w:val="FFFFFF"/>
      <w:sz w:val="18"/>
      <w:szCs w:val="18"/>
      <w:lang w:val="en-US" w:eastAsia="en-US"/>
    </w:rPr>
  </w:style>
  <w:style w:type="paragraph" w:styleId="Xl26067" w:customStyle="1">
    <w:name w:val="xl26067"/>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068" w:customStyle="1">
    <w:name w:val="xl26068"/>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069" w:customStyle="1">
    <w:name w:val="xl26069"/>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070" w:customStyle="1">
    <w:name w:val="xl26070"/>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071" w:customStyle="1">
    <w:name w:val="xl26071"/>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072" w:customStyle="1">
    <w:name w:val="xl26072"/>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73" w:customStyle="1">
    <w:name w:val="xl26073"/>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74" w:customStyle="1">
    <w:name w:val="xl26074"/>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75" w:customStyle="1">
    <w:name w:val="xl2607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76" w:customStyle="1">
    <w:name w:val="xl26076"/>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77" w:customStyle="1">
    <w:name w:val="xl26077"/>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78" w:customStyle="1">
    <w:name w:val="xl26078"/>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79" w:customStyle="1">
    <w:name w:val="xl2607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80" w:customStyle="1">
    <w:name w:val="xl26080"/>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081" w:customStyle="1">
    <w:name w:val="xl26081"/>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82" w:customStyle="1">
    <w:name w:val="xl26082"/>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83" w:customStyle="1">
    <w:name w:val="xl26083"/>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84" w:customStyle="1">
    <w:name w:val="xl26084"/>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85" w:customStyle="1">
    <w:name w:val="xl2608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i/>
      <w:iCs/>
      <w:sz w:val="18"/>
      <w:szCs w:val="18"/>
      <w:lang w:val="en-US" w:eastAsia="en-US"/>
    </w:rPr>
  </w:style>
  <w:style w:type="paragraph" w:styleId="Xl26086" w:customStyle="1">
    <w:name w:val="xl26086"/>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18"/>
      <w:szCs w:val="18"/>
      <w:lang w:val="en-US" w:eastAsia="en-US"/>
    </w:rPr>
  </w:style>
  <w:style w:type="paragraph" w:styleId="Xl26087" w:customStyle="1">
    <w:name w:val="xl26087"/>
    <w:basedOn w:val="Normal"/>
    <w:qFormat/>
    <w:rsid w:val="00486461"/>
    <w:pPr>
      <w:suppressAutoHyphens w:val="false"/>
      <w:spacing w:beforeAutospacing="1" w:afterAutospacing="1"/>
    </w:pPr>
    <w:rPr>
      <w:sz w:val="18"/>
      <w:szCs w:val="18"/>
      <w:lang w:val="en-US" w:eastAsia="en-US"/>
    </w:rPr>
  </w:style>
  <w:style w:type="paragraph" w:styleId="Xl26088" w:customStyle="1">
    <w:name w:val="xl26088"/>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89" w:customStyle="1">
    <w:name w:val="xl2608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90" w:customStyle="1">
    <w:name w:val="xl26090"/>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91" w:customStyle="1">
    <w:name w:val="xl26091"/>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92" w:customStyle="1">
    <w:name w:val="xl26092"/>
    <w:basedOn w:val="Normal"/>
    <w:qFormat/>
    <w:rsid w:val="00486461"/>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pPr>
    <w:rPr>
      <w:sz w:val="18"/>
      <w:szCs w:val="18"/>
      <w:lang w:val="en-US" w:eastAsia="en-US"/>
    </w:rPr>
  </w:style>
  <w:style w:type="paragraph" w:styleId="Xl26093" w:customStyle="1">
    <w:name w:val="xl26093"/>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094" w:customStyle="1">
    <w:name w:val="xl26094"/>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095" w:customStyle="1">
    <w:name w:val="xl2609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096" w:customStyle="1">
    <w:name w:val="xl26096"/>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97" w:customStyle="1">
    <w:name w:val="xl26097"/>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098" w:customStyle="1">
    <w:name w:val="xl26098"/>
    <w:basedOn w:val="Normal"/>
    <w:qFormat/>
    <w:rsid w:val="00486461"/>
    <w:pPr>
      <w:pBdr>
        <w:top w:val="single" w:sz="4" w:space="0" w:color="000000"/>
        <w:left w:val="single" w:sz="4" w:space="0" w:color="000000"/>
        <w:bottom w:val="single" w:sz="4" w:space="0" w:color="000000"/>
        <w:right w:val="single" w:sz="4" w:space="0" w:color="000000"/>
      </w:pBdr>
      <w:shd w:val="clear" w:color="000000" w:fill="000080"/>
      <w:suppressAutoHyphens w:val="false"/>
      <w:spacing w:beforeAutospacing="1" w:afterAutospacing="1"/>
    </w:pPr>
    <w:rPr>
      <w:b/>
      <w:bCs/>
      <w:color w:val="FFFFFF"/>
      <w:sz w:val="18"/>
      <w:szCs w:val="18"/>
      <w:lang w:val="en-US" w:eastAsia="en-US"/>
    </w:rPr>
  </w:style>
  <w:style w:type="paragraph" w:styleId="Xl26099" w:customStyle="1">
    <w:name w:val="xl26099"/>
    <w:basedOn w:val="Normal"/>
    <w:qFormat/>
    <w:rsid w:val="00486461"/>
    <w:pPr>
      <w:pBdr>
        <w:top w:val="single" w:sz="4" w:space="0" w:color="000000"/>
        <w:left w:val="single" w:sz="4" w:space="0" w:color="000000"/>
        <w:bottom w:val="single" w:sz="4" w:space="0" w:color="000000"/>
        <w:right w:val="single" w:sz="4" w:space="0" w:color="000000"/>
      </w:pBdr>
      <w:shd w:val="clear" w:color="000000" w:fill="14148A"/>
      <w:suppressAutoHyphens w:val="false"/>
      <w:spacing w:beforeAutospacing="1" w:afterAutospacing="1"/>
    </w:pPr>
    <w:rPr>
      <w:b/>
      <w:bCs/>
      <w:color w:val="FFFFFF"/>
      <w:sz w:val="18"/>
      <w:szCs w:val="18"/>
      <w:lang w:val="en-US" w:eastAsia="en-US"/>
    </w:rPr>
  </w:style>
  <w:style w:type="paragraph" w:styleId="Xl26100" w:customStyle="1">
    <w:name w:val="xl26100"/>
    <w:basedOn w:val="Normal"/>
    <w:qFormat/>
    <w:rsid w:val="00486461"/>
    <w:pPr>
      <w:pBdr>
        <w:top w:val="single" w:sz="4" w:space="0" w:color="000000"/>
        <w:left w:val="single" w:sz="4" w:space="0" w:color="000000"/>
        <w:bottom w:val="single" w:sz="4" w:space="0" w:color="000000"/>
        <w:right w:val="single" w:sz="4" w:space="0" w:color="000000"/>
      </w:pBdr>
      <w:shd w:val="clear" w:color="000000" w:fill="3C3C9E"/>
      <w:suppressAutoHyphens w:val="false"/>
      <w:spacing w:beforeAutospacing="1" w:afterAutospacing="1"/>
    </w:pPr>
    <w:rPr>
      <w:b/>
      <w:bCs/>
      <w:color w:val="FFFFFF"/>
      <w:sz w:val="18"/>
      <w:szCs w:val="18"/>
      <w:lang w:val="en-US" w:eastAsia="en-US"/>
    </w:rPr>
  </w:style>
  <w:style w:type="paragraph" w:styleId="Xl26101" w:customStyle="1">
    <w:name w:val="xl26101"/>
    <w:basedOn w:val="Normal"/>
    <w:qFormat/>
    <w:rsid w:val="00486461"/>
    <w:pPr>
      <w:pBdr>
        <w:top w:val="single" w:sz="4" w:space="0" w:color="000000"/>
        <w:left w:val="single" w:sz="4" w:space="0" w:color="000000"/>
        <w:bottom w:val="single" w:sz="4" w:space="0" w:color="000000"/>
        <w:right w:val="single" w:sz="4" w:space="0" w:color="000000"/>
      </w:pBdr>
      <w:shd w:val="clear" w:color="000000" w:fill="5050A8"/>
      <w:suppressAutoHyphens w:val="false"/>
      <w:spacing w:beforeAutospacing="1" w:afterAutospacing="1"/>
    </w:pPr>
    <w:rPr>
      <w:b/>
      <w:bCs/>
      <w:color w:val="FFFFFF"/>
      <w:sz w:val="18"/>
      <w:szCs w:val="18"/>
      <w:lang w:val="en-US" w:eastAsia="en-US"/>
    </w:rPr>
  </w:style>
  <w:style w:type="paragraph" w:styleId="Xl26102" w:customStyle="1">
    <w:name w:val="xl26102"/>
    <w:basedOn w:val="Normal"/>
    <w:qFormat/>
    <w:rsid w:val="00486461"/>
    <w:pPr>
      <w:pBdr>
        <w:top w:val="single" w:sz="4" w:space="0" w:color="000000"/>
        <w:left w:val="single" w:sz="4" w:space="0" w:color="000000"/>
        <w:bottom w:val="single" w:sz="4" w:space="0" w:color="000000"/>
        <w:right w:val="single" w:sz="4" w:space="0" w:color="000000"/>
      </w:pBdr>
      <w:shd w:val="clear" w:color="000000" w:fill="5050A8"/>
      <w:suppressAutoHyphens w:val="false"/>
      <w:spacing w:beforeAutospacing="1" w:afterAutospacing="1"/>
    </w:pPr>
    <w:rPr>
      <w:b/>
      <w:bCs/>
      <w:color w:val="FFFFFF"/>
      <w:sz w:val="18"/>
      <w:szCs w:val="18"/>
      <w:lang w:val="en-US" w:eastAsia="en-US"/>
    </w:rPr>
  </w:style>
  <w:style w:type="paragraph" w:styleId="Xl26103" w:customStyle="1">
    <w:name w:val="xl26103"/>
    <w:basedOn w:val="Normal"/>
    <w:qFormat/>
    <w:rsid w:val="00486461"/>
    <w:pPr>
      <w:pBdr>
        <w:top w:val="single" w:sz="4" w:space="0" w:color="000000"/>
        <w:left w:val="single" w:sz="4" w:space="0" w:color="000000"/>
        <w:bottom w:val="single" w:sz="4" w:space="0" w:color="000000"/>
        <w:right w:val="single" w:sz="4" w:space="0" w:color="000000"/>
      </w:pBdr>
      <w:shd w:val="clear" w:color="000000" w:fill="6464B2"/>
      <w:suppressAutoHyphens w:val="false"/>
      <w:spacing w:beforeAutospacing="1" w:afterAutospacing="1"/>
    </w:pPr>
    <w:rPr>
      <w:b/>
      <w:bCs/>
      <w:color w:val="FFFFFF"/>
      <w:sz w:val="18"/>
      <w:szCs w:val="18"/>
      <w:lang w:val="en-US" w:eastAsia="en-US"/>
    </w:rPr>
  </w:style>
  <w:style w:type="paragraph" w:styleId="Xl26104" w:customStyle="1">
    <w:name w:val="xl26104"/>
    <w:basedOn w:val="Normal"/>
    <w:qFormat/>
    <w:rsid w:val="00486461"/>
    <w:pPr>
      <w:pBdr>
        <w:top w:val="single" w:sz="4" w:space="0" w:color="000000"/>
        <w:left w:val="single" w:sz="4" w:space="0" w:color="000000"/>
        <w:bottom w:val="single" w:sz="4" w:space="0" w:color="000000"/>
        <w:right w:val="single" w:sz="4" w:space="0" w:color="000000"/>
      </w:pBdr>
      <w:shd w:val="clear" w:color="000000" w:fill="6464B2"/>
      <w:suppressAutoHyphens w:val="false"/>
      <w:spacing w:beforeAutospacing="1" w:afterAutospacing="1"/>
    </w:pPr>
    <w:rPr>
      <w:b/>
      <w:bCs/>
      <w:color w:val="FFFFFF"/>
      <w:sz w:val="18"/>
      <w:szCs w:val="18"/>
      <w:lang w:val="en-US" w:eastAsia="en-US"/>
    </w:rPr>
  </w:style>
  <w:style w:type="paragraph" w:styleId="Xl26105" w:customStyle="1">
    <w:name w:val="xl2610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b/>
      <w:bCs/>
      <w:sz w:val="18"/>
      <w:szCs w:val="18"/>
      <w:lang w:val="en-US" w:eastAsia="en-US"/>
    </w:rPr>
  </w:style>
  <w:style w:type="paragraph" w:styleId="Xl26106" w:customStyle="1">
    <w:name w:val="xl26106"/>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07" w:customStyle="1">
    <w:name w:val="xl26107"/>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08" w:customStyle="1">
    <w:name w:val="xl26108"/>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09" w:customStyle="1">
    <w:name w:val="xl2610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0" w:customStyle="1">
    <w:name w:val="xl26110"/>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1" w:customStyle="1">
    <w:name w:val="xl26111"/>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2" w:customStyle="1">
    <w:name w:val="xl26112"/>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3" w:customStyle="1">
    <w:name w:val="xl26113"/>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4" w:customStyle="1">
    <w:name w:val="xl26114"/>
    <w:basedOn w:val="Normal"/>
    <w:qFormat/>
    <w:rsid w:val="00486461"/>
    <w:pPr>
      <w:suppressAutoHyphens w:val="false"/>
      <w:spacing w:beforeAutospacing="1" w:afterAutospacing="1"/>
    </w:pPr>
    <w:rPr>
      <w:sz w:val="18"/>
      <w:szCs w:val="18"/>
      <w:lang w:val="en-US" w:eastAsia="en-US"/>
    </w:rPr>
  </w:style>
  <w:style w:type="paragraph" w:styleId="Xl26115" w:customStyle="1">
    <w:name w:val="xl2611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textAlignment w:val="center"/>
    </w:pPr>
    <w:rPr>
      <w:sz w:val="18"/>
      <w:szCs w:val="18"/>
      <w:lang w:val="en-US" w:eastAsia="en-US"/>
    </w:rPr>
  </w:style>
  <w:style w:type="paragraph" w:styleId="Xl26116" w:customStyle="1">
    <w:name w:val="xl26116"/>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17" w:customStyle="1">
    <w:name w:val="xl26117"/>
    <w:basedOn w:val="Normal"/>
    <w:qFormat/>
    <w:rsid w:val="00486461"/>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i/>
      <w:iCs/>
      <w:sz w:val="16"/>
      <w:szCs w:val="16"/>
      <w:lang w:val="en-US" w:eastAsia="en-US"/>
    </w:rPr>
  </w:style>
  <w:style w:type="paragraph" w:styleId="Xl26118" w:customStyle="1">
    <w:name w:val="xl26118"/>
    <w:basedOn w:val="Normal"/>
    <w:qFormat/>
    <w:rsid w:val="00486461"/>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i/>
      <w:iCs/>
      <w:sz w:val="16"/>
      <w:szCs w:val="16"/>
      <w:lang w:val="en-US" w:eastAsia="en-US"/>
    </w:rPr>
  </w:style>
  <w:style w:type="paragraph" w:styleId="Xl26119" w:customStyle="1">
    <w:name w:val="xl26119"/>
    <w:basedOn w:val="Normal"/>
    <w:qFormat/>
    <w:rsid w:val="00486461"/>
    <w:pPr>
      <w:pBdr>
        <w:top w:val="single" w:sz="4" w:space="0" w:color="000000"/>
        <w:left w:val="single" w:sz="4" w:space="0" w:color="000000"/>
        <w:bottom w:val="single" w:sz="4" w:space="0" w:color="000000"/>
        <w:right w:val="single" w:sz="4" w:space="0" w:color="000000"/>
      </w:pBdr>
      <w:shd w:val="clear" w:color="000000" w:fill="FFFFFF"/>
      <w:suppressAutoHyphens w:val="false"/>
      <w:spacing w:beforeAutospacing="1" w:afterAutospacing="1"/>
      <w:jc w:val="center"/>
      <w:textAlignment w:val="center"/>
    </w:pPr>
    <w:rPr>
      <w:i/>
      <w:iCs/>
      <w:sz w:val="16"/>
      <w:szCs w:val="16"/>
      <w:lang w:val="en-US" w:eastAsia="en-US"/>
    </w:rPr>
  </w:style>
  <w:style w:type="paragraph" w:styleId="Xl26120" w:customStyle="1">
    <w:name w:val="xl26120"/>
    <w:basedOn w:val="Normal"/>
    <w:qFormat/>
    <w:rsid w:val="00486461"/>
    <w:pPr>
      <w:suppressAutoHyphens w:val="false"/>
      <w:spacing w:beforeAutospacing="1" w:afterAutospacing="1"/>
    </w:pPr>
    <w:rPr>
      <w:sz w:val="18"/>
      <w:szCs w:val="18"/>
      <w:lang w:val="en-US" w:eastAsia="en-US"/>
    </w:rPr>
  </w:style>
  <w:style w:type="paragraph" w:styleId="Xl26121" w:customStyle="1">
    <w:name w:val="xl26121"/>
    <w:basedOn w:val="Normal"/>
    <w:qFormat/>
    <w:rsid w:val="00486461"/>
    <w:pPr>
      <w:suppressAutoHyphens w:val="false"/>
      <w:spacing w:beforeAutospacing="1" w:afterAutospacing="1"/>
    </w:pPr>
    <w:rPr>
      <w:sz w:val="18"/>
      <w:szCs w:val="18"/>
      <w:lang w:val="en-US" w:eastAsia="en-US"/>
    </w:rPr>
  </w:style>
  <w:style w:type="paragraph" w:styleId="Xl26122" w:customStyle="1">
    <w:name w:val="xl26122"/>
    <w:basedOn w:val="Normal"/>
    <w:qFormat/>
    <w:rsid w:val="00486461"/>
    <w:pPr>
      <w:suppressAutoHyphens w:val="false"/>
      <w:spacing w:beforeAutospacing="1" w:afterAutospacing="1"/>
    </w:pPr>
    <w:rPr>
      <w:sz w:val="18"/>
      <w:szCs w:val="18"/>
      <w:lang w:val="en-US" w:eastAsia="en-US"/>
    </w:rPr>
  </w:style>
  <w:style w:type="paragraph" w:styleId="Xl26123" w:customStyle="1">
    <w:name w:val="xl26123"/>
    <w:basedOn w:val="Normal"/>
    <w:qFormat/>
    <w:rsid w:val="00486461"/>
    <w:pPr>
      <w:suppressAutoHyphens w:val="false"/>
      <w:spacing w:beforeAutospacing="1" w:afterAutospacing="1"/>
    </w:pPr>
    <w:rPr>
      <w:sz w:val="18"/>
      <w:szCs w:val="18"/>
      <w:lang w:val="en-US" w:eastAsia="en-US"/>
    </w:rPr>
  </w:style>
  <w:style w:type="paragraph" w:styleId="Xl26124" w:customStyle="1">
    <w:name w:val="xl26124"/>
    <w:basedOn w:val="Normal"/>
    <w:qFormat/>
    <w:rsid w:val="00486461"/>
    <w:pPr>
      <w:pBdr>
        <w:top w:val="single" w:sz="4" w:space="0" w:color="000000"/>
        <w:left w:val="single" w:sz="4" w:space="0" w:color="000000"/>
        <w:bottom w:val="single" w:sz="4" w:space="0" w:color="000000"/>
        <w:right w:val="single" w:sz="4" w:space="0" w:color="000000"/>
      </w:pBdr>
      <w:shd w:val="clear" w:color="000000" w:fill="14148A"/>
      <w:suppressAutoHyphens w:val="false"/>
      <w:spacing w:beforeAutospacing="1" w:afterAutospacing="1"/>
    </w:pPr>
    <w:rPr>
      <w:b/>
      <w:bCs/>
      <w:color w:val="FFFFFF"/>
      <w:sz w:val="18"/>
      <w:szCs w:val="18"/>
      <w:lang w:val="en-US" w:eastAsia="en-US"/>
    </w:rPr>
  </w:style>
  <w:style w:type="paragraph" w:styleId="Xl26125" w:customStyle="1">
    <w:name w:val="xl26125"/>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jc w:val="right"/>
    </w:pPr>
    <w:rPr>
      <w:b/>
      <w:bCs/>
      <w:sz w:val="18"/>
      <w:szCs w:val="18"/>
      <w:lang w:val="en-US" w:eastAsia="en-US"/>
    </w:rPr>
  </w:style>
  <w:style w:type="paragraph" w:styleId="Xl26126" w:customStyle="1">
    <w:name w:val="xl26126"/>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jc w:val="right"/>
    </w:pPr>
    <w:rPr>
      <w:b/>
      <w:bCs/>
      <w:sz w:val="18"/>
      <w:szCs w:val="18"/>
      <w:lang w:val="en-US" w:eastAsia="en-US"/>
    </w:rPr>
  </w:style>
  <w:style w:type="paragraph" w:styleId="Xl26127" w:customStyle="1">
    <w:name w:val="xl26127"/>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b/>
      <w:bCs/>
      <w:sz w:val="18"/>
      <w:szCs w:val="18"/>
      <w:lang w:val="en-US" w:eastAsia="en-US"/>
    </w:rPr>
  </w:style>
  <w:style w:type="paragraph" w:styleId="Xl26128" w:customStyle="1">
    <w:name w:val="xl26128"/>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sz w:val="18"/>
      <w:szCs w:val="18"/>
      <w:lang w:val="en-US" w:eastAsia="en-US"/>
    </w:rPr>
  </w:style>
  <w:style w:type="paragraph" w:styleId="Xl26129" w:customStyle="1">
    <w:name w:val="xl2612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b/>
      <w:bCs/>
      <w:sz w:val="18"/>
      <w:szCs w:val="18"/>
      <w:lang w:val="en-US" w:eastAsia="en-US"/>
    </w:rPr>
  </w:style>
  <w:style w:type="paragraph" w:styleId="Xl26130" w:customStyle="1">
    <w:name w:val="xl26130"/>
    <w:basedOn w:val="Normal"/>
    <w:qFormat/>
    <w:rsid w:val="00486461"/>
    <w:pPr>
      <w:suppressAutoHyphens w:val="false"/>
      <w:spacing w:beforeAutospacing="1" w:afterAutospacing="1"/>
    </w:pPr>
    <w:rPr>
      <w:sz w:val="18"/>
      <w:szCs w:val="18"/>
      <w:lang w:val="en-US" w:eastAsia="en-US"/>
    </w:rPr>
  </w:style>
  <w:style w:type="paragraph" w:styleId="Xl26131" w:customStyle="1">
    <w:name w:val="xl26131"/>
    <w:basedOn w:val="Normal"/>
    <w:qFormat/>
    <w:rsid w:val="00486461"/>
    <w:pPr>
      <w:suppressAutoHyphens w:val="false"/>
      <w:spacing w:beforeAutospacing="1" w:afterAutospacing="1"/>
    </w:pPr>
    <w:rPr>
      <w:sz w:val="18"/>
      <w:szCs w:val="18"/>
      <w:lang w:val="en-US" w:eastAsia="en-US"/>
    </w:rPr>
  </w:style>
  <w:style w:type="paragraph" w:styleId="Xl26132" w:customStyle="1">
    <w:name w:val="xl26132"/>
    <w:basedOn w:val="Normal"/>
    <w:qFormat/>
    <w:rsid w:val="00486461"/>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b/>
      <w:bCs/>
      <w:sz w:val="18"/>
      <w:szCs w:val="18"/>
      <w:lang w:val="en-US" w:eastAsia="en-US"/>
    </w:rPr>
  </w:style>
  <w:style w:type="paragraph" w:styleId="Xl26133" w:customStyle="1">
    <w:name w:val="xl26133"/>
    <w:basedOn w:val="Normal"/>
    <w:qFormat/>
    <w:rsid w:val="00486461"/>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b/>
      <w:bCs/>
      <w:sz w:val="18"/>
      <w:szCs w:val="18"/>
      <w:lang w:val="en-US" w:eastAsia="en-US"/>
    </w:rPr>
  </w:style>
  <w:style w:type="paragraph" w:styleId="Xl26134" w:customStyle="1">
    <w:name w:val="xl26134"/>
    <w:basedOn w:val="Normal"/>
    <w:qFormat/>
    <w:rsid w:val="00486461"/>
    <w:pPr>
      <w:pBdr>
        <w:top w:val="single" w:sz="4" w:space="0" w:color="000000"/>
        <w:left w:val="single" w:sz="4" w:space="0" w:color="000000"/>
        <w:bottom w:val="single" w:sz="4" w:space="0" w:color="000000"/>
        <w:right w:val="single" w:sz="4" w:space="0" w:color="000000"/>
      </w:pBdr>
      <w:shd w:val="clear" w:color="000000" w:fill="14148A"/>
      <w:suppressAutoHyphens w:val="false"/>
      <w:spacing w:beforeAutospacing="1" w:afterAutospacing="1"/>
    </w:pPr>
    <w:rPr>
      <w:b/>
      <w:bCs/>
      <w:color w:val="FFFFFF"/>
      <w:sz w:val="18"/>
      <w:szCs w:val="18"/>
      <w:lang w:val="en-US" w:eastAsia="en-US"/>
    </w:rPr>
  </w:style>
  <w:style w:type="paragraph" w:styleId="Xl26135" w:customStyle="1">
    <w:name w:val="xl26135"/>
    <w:basedOn w:val="Normal"/>
    <w:qFormat/>
    <w:rsid w:val="00486461"/>
    <w:pPr>
      <w:pBdr>
        <w:top w:val="single" w:sz="4" w:space="0" w:color="000000"/>
        <w:left w:val="single" w:sz="4" w:space="0" w:color="000000"/>
        <w:bottom w:val="single" w:sz="4" w:space="0" w:color="000000"/>
        <w:right w:val="single" w:sz="4" w:space="0" w:color="000000"/>
      </w:pBdr>
      <w:shd w:val="clear" w:color="000000" w:fill="14148A"/>
      <w:suppressAutoHyphens w:val="false"/>
      <w:spacing w:beforeAutospacing="1" w:afterAutospacing="1"/>
    </w:pPr>
    <w:rPr>
      <w:b/>
      <w:bCs/>
      <w:color w:val="FFFFFF"/>
      <w:sz w:val="18"/>
      <w:szCs w:val="18"/>
      <w:lang w:val="en-US" w:eastAsia="en-US"/>
    </w:rPr>
  </w:style>
  <w:style w:type="paragraph" w:styleId="Xl26136" w:customStyle="1">
    <w:name w:val="xl26136"/>
    <w:basedOn w:val="Normal"/>
    <w:qFormat/>
    <w:rsid w:val="00486461"/>
    <w:pPr>
      <w:pBdr>
        <w:top w:val="single" w:sz="4" w:space="0" w:color="000000"/>
        <w:left w:val="single" w:sz="4" w:space="0" w:color="000000"/>
        <w:bottom w:val="single" w:sz="4" w:space="0" w:color="000000"/>
        <w:right w:val="single" w:sz="4" w:space="0" w:color="000000"/>
      </w:pBdr>
      <w:shd w:val="clear" w:color="000000" w:fill="5050A8"/>
      <w:suppressAutoHyphens w:val="false"/>
      <w:spacing w:beforeAutospacing="1" w:afterAutospacing="1"/>
    </w:pPr>
    <w:rPr>
      <w:b/>
      <w:bCs/>
      <w:color w:val="FFFFFF"/>
      <w:sz w:val="18"/>
      <w:szCs w:val="18"/>
      <w:lang w:val="en-US" w:eastAsia="en-US"/>
    </w:rPr>
  </w:style>
  <w:style w:type="paragraph" w:styleId="Xl26137" w:customStyle="1">
    <w:name w:val="xl26137"/>
    <w:basedOn w:val="Normal"/>
    <w:qFormat/>
    <w:rsid w:val="00486461"/>
    <w:pPr>
      <w:pBdr>
        <w:top w:val="single" w:sz="4" w:space="0" w:color="000000"/>
        <w:left w:val="single" w:sz="4" w:space="0" w:color="000000"/>
        <w:bottom w:val="single" w:sz="4" w:space="0" w:color="000000"/>
        <w:right w:val="single" w:sz="4" w:space="0" w:color="000000"/>
      </w:pBdr>
      <w:shd w:val="clear" w:color="000000" w:fill="6464B2"/>
      <w:suppressAutoHyphens w:val="false"/>
      <w:spacing w:beforeAutospacing="1" w:afterAutospacing="1"/>
    </w:pPr>
    <w:rPr>
      <w:b/>
      <w:bCs/>
      <w:color w:val="FFFFFF"/>
      <w:sz w:val="18"/>
      <w:szCs w:val="18"/>
      <w:lang w:val="en-US" w:eastAsia="en-US"/>
    </w:rPr>
  </w:style>
  <w:style w:type="paragraph" w:styleId="Xl26138" w:customStyle="1">
    <w:name w:val="xl26138"/>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139" w:customStyle="1">
    <w:name w:val="xl26139"/>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140" w:customStyle="1">
    <w:name w:val="xl26140"/>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pPr>
    <w:rPr>
      <w:b/>
      <w:bCs/>
      <w:sz w:val="18"/>
      <w:szCs w:val="18"/>
      <w:lang w:val="en-US" w:eastAsia="en-US"/>
    </w:rPr>
  </w:style>
  <w:style w:type="paragraph" w:styleId="Xl26141" w:customStyle="1">
    <w:name w:val="xl26141"/>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42" w:customStyle="1">
    <w:name w:val="xl26142"/>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43" w:customStyle="1">
    <w:name w:val="xl26143"/>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sz w:val="18"/>
      <w:szCs w:val="18"/>
      <w:lang w:val="en-US" w:eastAsia="en-US"/>
    </w:rPr>
  </w:style>
  <w:style w:type="paragraph" w:styleId="Xl26144" w:customStyle="1">
    <w:name w:val="xl26144"/>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pPr>
    <w:rPr>
      <w:b/>
      <w:bCs/>
      <w:sz w:val="18"/>
      <w:szCs w:val="18"/>
      <w:lang w:val="en-US" w:eastAsia="en-US"/>
    </w:rPr>
  </w:style>
  <w:style w:type="paragraph" w:styleId="Xl26145" w:customStyle="1">
    <w:name w:val="xl26145"/>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46" w:customStyle="1">
    <w:name w:val="xl26146"/>
    <w:basedOn w:val="Normal"/>
    <w:qFormat/>
    <w:rsid w:val="00486461"/>
    <w:pPr>
      <w:suppressAutoHyphens w:val="false"/>
      <w:spacing w:beforeAutospacing="1" w:afterAutospacing="1"/>
    </w:pPr>
    <w:rPr>
      <w:sz w:val="18"/>
      <w:szCs w:val="18"/>
      <w:lang w:val="en-US" w:eastAsia="en-US"/>
    </w:rPr>
  </w:style>
  <w:style w:type="paragraph" w:styleId="Xl26147" w:customStyle="1">
    <w:name w:val="xl26147"/>
    <w:basedOn w:val="Normal"/>
    <w:qFormat/>
    <w:rsid w:val="00486461"/>
    <w:pPr>
      <w:pBdr>
        <w:top w:val="single" w:sz="4" w:space="0" w:color="000000"/>
        <w:left w:val="single" w:sz="4" w:space="0" w:color="000000"/>
        <w:bottom w:val="single" w:sz="4" w:space="0" w:color="000000"/>
        <w:right w:val="single" w:sz="4" w:space="0" w:color="000000"/>
      </w:pBdr>
      <w:shd w:val="clear" w:color="000000" w:fill="505050"/>
      <w:suppressAutoHyphens w:val="false"/>
      <w:spacing w:beforeAutospacing="1" w:afterAutospacing="1"/>
    </w:pPr>
    <w:rPr>
      <w:b/>
      <w:bCs/>
      <w:color w:val="FFFFFF"/>
      <w:sz w:val="18"/>
      <w:szCs w:val="18"/>
      <w:lang w:val="en-US" w:eastAsia="en-US"/>
    </w:rPr>
  </w:style>
  <w:style w:type="paragraph" w:styleId="Xl26148" w:customStyle="1">
    <w:name w:val="xl26148"/>
    <w:basedOn w:val="Normal"/>
    <w:qFormat/>
    <w:rsid w:val="00486461"/>
    <w:pPr>
      <w:pBdr>
        <w:top w:val="single" w:sz="4" w:space="0" w:color="000000"/>
        <w:left w:val="single" w:sz="4" w:space="0" w:color="000000"/>
        <w:bottom w:val="single" w:sz="4" w:space="0" w:color="000000"/>
        <w:right w:val="single" w:sz="4" w:space="0" w:color="000000"/>
      </w:pBdr>
      <w:shd w:val="clear" w:color="000000" w:fill="000080"/>
      <w:suppressAutoHyphens w:val="false"/>
      <w:spacing w:beforeAutospacing="1" w:afterAutospacing="1"/>
    </w:pPr>
    <w:rPr>
      <w:b/>
      <w:bCs/>
      <w:color w:val="FFFFFF"/>
      <w:sz w:val="18"/>
      <w:szCs w:val="18"/>
      <w:lang w:val="en-US" w:eastAsia="en-US"/>
    </w:rPr>
  </w:style>
  <w:style w:type="paragraph" w:styleId="Xl26149" w:customStyle="1">
    <w:name w:val="xl2614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pPr>
    <w:rPr>
      <w:b/>
      <w:bCs/>
      <w:sz w:val="18"/>
      <w:szCs w:val="18"/>
      <w:lang w:val="en-US" w:eastAsia="en-US"/>
    </w:rPr>
  </w:style>
  <w:style w:type="paragraph" w:styleId="Xl26150" w:customStyle="1">
    <w:name w:val="xl26150"/>
    <w:basedOn w:val="Normal"/>
    <w:qFormat/>
    <w:rsid w:val="00486461"/>
    <w:pPr>
      <w:suppressAutoHyphens w:val="false"/>
      <w:spacing w:beforeAutospacing="1" w:afterAutospacing="1"/>
    </w:pPr>
    <w:rPr>
      <w:color w:val="FF0000"/>
      <w:sz w:val="18"/>
      <w:szCs w:val="18"/>
      <w:lang w:val="en-US" w:eastAsia="en-US"/>
    </w:rPr>
  </w:style>
  <w:style w:type="paragraph" w:styleId="Xl26151" w:customStyle="1">
    <w:name w:val="xl26151"/>
    <w:basedOn w:val="Normal"/>
    <w:qFormat/>
    <w:rsid w:val="00486461"/>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b/>
      <w:bCs/>
      <w:sz w:val="18"/>
      <w:szCs w:val="18"/>
      <w:lang w:val="en-US" w:eastAsia="en-US"/>
    </w:rPr>
  </w:style>
  <w:style w:type="paragraph" w:styleId="Xl26152" w:customStyle="1">
    <w:name w:val="xl26152"/>
    <w:basedOn w:val="Normal"/>
    <w:qFormat/>
    <w:rsid w:val="00486461"/>
    <w:pPr>
      <w:pBdr>
        <w:top w:val="single" w:sz="4" w:space="0" w:color="000000"/>
        <w:left w:val="single" w:sz="4" w:space="0" w:color="000000"/>
        <w:bottom w:val="single" w:sz="4" w:space="0" w:color="000000"/>
        <w:right w:val="single" w:sz="4" w:space="0" w:color="000000"/>
      </w:pBdr>
      <w:shd w:val="clear" w:color="000000" w:fill="C0C0C0"/>
      <w:suppressAutoHyphens w:val="false"/>
      <w:spacing w:beforeAutospacing="1" w:afterAutospacing="1"/>
      <w:jc w:val="center"/>
      <w:textAlignment w:val="center"/>
    </w:pPr>
    <w:rPr>
      <w:b/>
      <w:bCs/>
      <w:sz w:val="18"/>
      <w:szCs w:val="18"/>
      <w:lang w:val="en-US" w:eastAsia="en-US"/>
    </w:rPr>
  </w:style>
  <w:style w:type="paragraph" w:styleId="Xl26153" w:customStyle="1">
    <w:name w:val="xl26153"/>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jc w:val="right"/>
    </w:pPr>
    <w:rPr>
      <w:sz w:val="18"/>
      <w:szCs w:val="18"/>
      <w:lang w:val="en-US" w:eastAsia="en-US"/>
    </w:rPr>
  </w:style>
  <w:style w:type="paragraph" w:styleId="Xl26154" w:customStyle="1">
    <w:name w:val="xl26154"/>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jc w:val="right"/>
    </w:pPr>
    <w:rPr>
      <w:sz w:val="18"/>
      <w:szCs w:val="18"/>
      <w:lang w:val="en-US" w:eastAsia="en-US"/>
    </w:rPr>
  </w:style>
  <w:style w:type="paragraph" w:styleId="Xl26155" w:customStyle="1">
    <w:name w:val="xl26155"/>
    <w:basedOn w:val="Normal"/>
    <w:qFormat/>
    <w:rsid w:val="00486461"/>
    <w:pPr>
      <w:pBdr>
        <w:top w:val="single" w:sz="4" w:space="0" w:color="000000"/>
        <w:left w:val="single" w:sz="4" w:space="0" w:color="000000"/>
        <w:bottom w:val="single" w:sz="4" w:space="0" w:color="000000"/>
        <w:right w:val="single" w:sz="4" w:space="0" w:color="000000"/>
      </w:pBdr>
      <w:shd w:val="clear" w:color="000000" w:fill="FFFF00"/>
      <w:suppressAutoHyphens w:val="false"/>
      <w:spacing w:beforeAutospacing="1" w:afterAutospacing="1"/>
      <w:jc w:val="right"/>
    </w:pPr>
    <w:rPr>
      <w:b/>
      <w:bCs/>
      <w:sz w:val="18"/>
      <w:szCs w:val="18"/>
      <w:lang w:val="en-US" w:eastAsia="en-US"/>
    </w:rPr>
  </w:style>
  <w:style w:type="paragraph" w:styleId="Xl26156" w:customStyle="1">
    <w:name w:val="xl26156"/>
    <w:basedOn w:val="Normal"/>
    <w:qFormat/>
    <w:rsid w:val="00486461"/>
    <w:pPr>
      <w:pBdr>
        <w:top w:val="single" w:sz="4" w:space="0" w:color="000000"/>
        <w:left w:val="single" w:sz="4" w:space="0" w:color="000000"/>
        <w:bottom w:val="single" w:sz="4" w:space="0" w:color="000000"/>
        <w:right w:val="single" w:sz="4" w:space="0" w:color="000000"/>
      </w:pBdr>
      <w:shd w:val="clear" w:color="000000" w:fill="A0D0A0"/>
      <w:suppressAutoHyphens w:val="false"/>
      <w:spacing w:beforeAutospacing="1" w:afterAutospacing="1"/>
      <w:jc w:val="right"/>
    </w:pPr>
    <w:rPr>
      <w:b/>
      <w:bCs/>
      <w:sz w:val="18"/>
      <w:szCs w:val="18"/>
      <w:lang w:val="en-US" w:eastAsia="en-US"/>
    </w:rPr>
  </w:style>
  <w:style w:type="paragraph" w:styleId="Xl26157" w:customStyle="1">
    <w:name w:val="xl26157"/>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b/>
      <w:bCs/>
      <w:sz w:val="18"/>
      <w:szCs w:val="18"/>
      <w:lang w:val="en-US" w:eastAsia="en-US"/>
    </w:rPr>
  </w:style>
  <w:style w:type="paragraph" w:styleId="Xl26158" w:customStyle="1">
    <w:name w:val="xl26158"/>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sz w:val="18"/>
      <w:szCs w:val="18"/>
      <w:lang w:val="en-US" w:eastAsia="en-US"/>
    </w:rPr>
  </w:style>
  <w:style w:type="paragraph" w:styleId="Xl26159" w:customStyle="1">
    <w:name w:val="xl26159"/>
    <w:basedOn w:val="Normal"/>
    <w:qFormat/>
    <w:rsid w:val="00486461"/>
    <w:pPr>
      <w:pBdr>
        <w:top w:val="single" w:sz="4" w:space="0" w:color="000000"/>
        <w:left w:val="single" w:sz="4" w:space="0" w:color="000000"/>
        <w:bottom w:val="single" w:sz="4" w:space="0" w:color="000000"/>
        <w:right w:val="single" w:sz="4" w:space="0" w:color="000000"/>
      </w:pBdr>
      <w:suppressAutoHyphens w:val="false"/>
      <w:spacing w:beforeAutospacing="1" w:afterAutospacing="1"/>
      <w:jc w:val="right"/>
    </w:pPr>
    <w:rPr>
      <w:sz w:val="18"/>
      <w:szCs w:val="18"/>
      <w:lang w:val="en-US" w:eastAsia="en-US"/>
    </w:rPr>
  </w:style>
  <w:style w:type="paragraph" w:styleId="HeaderandFooter" w:customStyle="1">
    <w:name w:val="Header and Footer"/>
    <w:basedOn w:val="Normal"/>
    <w:qFormat/>
    <w:rsid w:val="00e107fd"/>
    <w:pPr/>
    <w:rPr/>
  </w:style>
  <w:style w:type="paragraph" w:styleId="Header">
    <w:name w:val="Header"/>
    <w:basedOn w:val="Normal"/>
    <w:link w:val="HeaderChar"/>
    <w:uiPriority w:val="99"/>
    <w:unhideWhenUsed/>
    <w:rsid w:val="00c37e6b"/>
    <w:pPr>
      <w:tabs>
        <w:tab w:val="clear" w:pos="720"/>
        <w:tab w:val="center" w:pos="4703" w:leader="none"/>
        <w:tab w:val="right" w:pos="9406" w:leader="none"/>
      </w:tabs>
    </w:pPr>
    <w:rPr/>
  </w:style>
  <w:style w:type="paragraph" w:styleId="Footer">
    <w:name w:val="Footer"/>
    <w:basedOn w:val="Normal"/>
    <w:link w:val="FooterChar"/>
    <w:uiPriority w:val="99"/>
    <w:unhideWhenUsed/>
    <w:rsid w:val="00c37e6b"/>
    <w:pPr>
      <w:tabs>
        <w:tab w:val="clear" w:pos="720"/>
        <w:tab w:val="center" w:pos="4703" w:leader="none"/>
        <w:tab w:val="right" w:pos="9406" w:leader="none"/>
      </w:tabs>
    </w:pPr>
    <w:rPr/>
  </w:style>
  <w:style w:type="paragraph" w:styleId="BalloonText">
    <w:name w:val="Balloon Text"/>
    <w:basedOn w:val="Normal"/>
    <w:link w:val="BalloonTextChar"/>
    <w:uiPriority w:val="99"/>
    <w:semiHidden/>
    <w:unhideWhenUsed/>
    <w:qFormat/>
    <w:rsid w:val="009e205c"/>
    <w:pPr/>
    <w:rPr>
      <w:rFonts w:ascii="Tahoma" w:hAnsi="Tahoma" w:cs="Tahoma"/>
      <w:sz w:val="16"/>
      <w:szCs w:val="16"/>
    </w:rPr>
  </w:style>
  <w:style w:type="paragraph" w:styleId="Normal6" w:customStyle="1">
    <w:name w:val="Normal 6"/>
    <w:basedOn w:val="Normal"/>
    <w:qFormat/>
    <w:rsid w:val="00e107fd"/>
    <w:pPr>
      <w:ind w:left="1080"/>
    </w:pPr>
    <w:rPr/>
  </w:style>
  <w:style w:type="paragraph" w:styleId="CellHeader" w:customStyle="1">
    <w:name w:val="CellHeader"/>
    <w:basedOn w:val="Normal"/>
    <w:qFormat/>
    <w:rsid w:val="00e107fd"/>
    <w:pPr/>
    <w:rPr>
      <w:rFonts w:cs="Arial"/>
      <w:bCs/>
      <w:sz w:val="20"/>
      <w:szCs w:val="22"/>
      <w:lang w:eastAsia="hr-HR"/>
    </w:rPr>
  </w:style>
  <w:style w:type="paragraph" w:styleId="CellColumn" w:customStyle="1">
    <w:name w:val="CellColumn"/>
    <w:basedOn w:val="CellHeader"/>
    <w:qFormat/>
    <w:rsid w:val="00e107fd"/>
    <w:pPr/>
    <w:rPr/>
  </w:style>
  <w:style w:type="paragraph" w:styleId="TableContents" w:customStyle="1">
    <w:name w:val="Table Contents"/>
    <w:basedOn w:val="Normal"/>
    <w:qFormat/>
    <w:rsid w:val="00e107fd"/>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WW8Num4" w:customStyle="1">
    <w:name w:val="WW8Num4"/>
    <w:qFormat/>
    <w:rsid w:val="00e107fd"/>
  </w:style>
  <w:style w:type="numbering" w:styleId="WW8Num5" w:customStyle="1">
    <w:name w:val="WW8Num5"/>
    <w:qFormat/>
    <w:rsid w:val="00e107fd"/>
  </w:style>
  <w:style w:type="numbering" w:styleId="WW8Num2">
    <w:name w:val="WW8Num2"/>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39"/>
    <w:rsid w:val="009f2a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package" Target="embeddings/oleObject1.xlsx"/><Relationship Id="rId4" Type="http://schemas.openxmlformats.org/officeDocument/2006/relationships/image" Target="media/image2.emf"/><Relationship Id="rId5" Type="http://schemas.openxmlformats.org/officeDocument/2006/relationships/package" Target="embeddings/oleObject2.xlsx"/><Relationship Id="rId6" Type="http://schemas.openxmlformats.org/officeDocument/2006/relationships/image" Target="media/image3.emf"/><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810</TotalTime>
  <Application>LibreOffice/7.6.0.3$Windows_X86_64 LibreOffice_project/69edd8b8ebc41d00b4de3915dc82f8f0fc3b6265</Application>
  <AppVersion>15.0000</AppVersion>
  <Pages>14</Pages>
  <Words>3006</Words>
  <Characters>19267</Characters>
  <CharactersWithSpaces>22390</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2024-07-22T08:28:00Z</dcterms:created>
  <dc:creator>Korisnik</dc:creator>
  <dc:description/>
  <dc:language>hr-HR</dc:language>
  <cp:lastModifiedBy/>
  <cp:lastPrinted>2026-03-06T13:40:38Z</cp:lastPrinted>
  <dcterms:modified xsi:type="dcterms:W3CDTF">2026-03-09T13:07:38Z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