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00" w:type="dxa"/>
        <w:jc w:val="left"/>
        <w:tblInd w:w="108" w:type="dxa"/>
        <w:tblLayout w:type="fixed"/>
        <w:tblCellMar>
          <w:top w:w="0" w:type="dxa"/>
          <w:left w:w="108" w:type="dxa"/>
          <w:bottom w:w="0" w:type="dxa"/>
          <w:right w:w="108" w:type="dxa"/>
        </w:tblCellMar>
      </w:tblPr>
      <w:tblGrid>
        <w:gridCol w:w="1894"/>
        <w:gridCol w:w="7105"/>
      </w:tblGrid>
      <w:tr>
        <w:trPr/>
        <w:tc>
          <w:tcPr>
            <w:tcW w:w="1894" w:type="dxa"/>
            <w:tcBorders/>
            <w:shd w:color="auto" w:fill="E7F0F9" w:val="clear"/>
          </w:tcPr>
          <w:p>
            <w:pPr>
              <w:pStyle w:val="Normal"/>
              <w:bidi w:val="0"/>
              <w:spacing w:lineRule="auto" w:line="240" w:before="0" w:after="0"/>
              <w:jc w:val="left"/>
              <w:rPr/>
            </w:pPr>
            <w:r>
              <w:rPr>
                <w:b/>
              </w:rPr>
              <w:t>RKP broj</w:t>
            </w:r>
          </w:p>
        </w:tc>
        <w:tc>
          <w:tcPr>
            <w:tcW w:w="7105" w:type="dxa"/>
            <w:tcBorders/>
            <w:shd w:color="auto" w:fill="E7F0F9" w:val="clear"/>
          </w:tcPr>
          <w:p>
            <w:pPr>
              <w:pStyle w:val="Normal"/>
              <w:bidi w:val="0"/>
              <w:spacing w:lineRule="auto" w:line="240" w:before="0" w:after="0"/>
              <w:jc w:val="left"/>
              <w:rPr/>
            </w:pPr>
            <w:r>
              <w:rPr/>
              <w:t>43804</w:t>
            </w:r>
          </w:p>
        </w:tc>
      </w:tr>
      <w:tr>
        <w:trPr/>
        <w:tc>
          <w:tcPr>
            <w:tcW w:w="1894" w:type="dxa"/>
            <w:tcBorders/>
            <w:shd w:color="auto" w:fill="E7F0F9" w:val="clear"/>
          </w:tcPr>
          <w:p>
            <w:pPr>
              <w:pStyle w:val="Normal"/>
              <w:bidi w:val="0"/>
              <w:spacing w:lineRule="auto" w:line="240" w:before="0" w:after="0"/>
              <w:jc w:val="left"/>
              <w:rPr/>
            </w:pPr>
            <w:r>
              <w:rPr>
                <w:b/>
              </w:rPr>
              <w:t>Naziv obveznika</w:t>
            </w:r>
          </w:p>
        </w:tc>
        <w:tc>
          <w:tcPr>
            <w:tcW w:w="7105" w:type="dxa"/>
            <w:tcBorders/>
            <w:shd w:color="auto" w:fill="E7F0F9" w:val="clear"/>
          </w:tcPr>
          <w:p>
            <w:pPr>
              <w:pStyle w:val="Normal"/>
              <w:bidi w:val="0"/>
              <w:spacing w:lineRule="auto" w:line="240" w:before="0" w:after="0"/>
              <w:jc w:val="left"/>
              <w:rPr/>
            </w:pPr>
            <w:r>
              <w:rPr/>
              <w:t>OPĆA I VETERANSKA BOLNICA HRVATSKI PONOS KNIN</w:t>
            </w:r>
          </w:p>
        </w:tc>
      </w:tr>
      <w:tr>
        <w:trPr/>
        <w:tc>
          <w:tcPr>
            <w:tcW w:w="1894" w:type="dxa"/>
            <w:tcBorders/>
            <w:shd w:color="auto" w:fill="E7F0F9" w:val="clear"/>
          </w:tcPr>
          <w:p>
            <w:pPr>
              <w:pStyle w:val="Normal"/>
              <w:bidi w:val="0"/>
              <w:spacing w:lineRule="auto" w:line="240" w:before="0" w:after="0"/>
              <w:jc w:val="left"/>
              <w:rPr/>
            </w:pPr>
            <w:r>
              <w:rPr>
                <w:b/>
              </w:rPr>
              <w:t>Razina</w:t>
            </w:r>
          </w:p>
        </w:tc>
        <w:tc>
          <w:tcPr>
            <w:tcW w:w="7105" w:type="dxa"/>
            <w:tcBorders/>
            <w:shd w:color="auto" w:fill="E7F0F9" w:val="clear"/>
          </w:tcPr>
          <w:p>
            <w:pPr>
              <w:pStyle w:val="Normal"/>
              <w:bidi w:val="0"/>
              <w:spacing w:lineRule="auto" w:line="240" w:before="0" w:after="0"/>
              <w:jc w:val="left"/>
              <w:rPr/>
            </w:pPr>
            <w:r>
              <w:rPr/>
              <w:t>11</w:t>
            </w:r>
          </w:p>
        </w:tc>
      </w:tr>
    </w:tbl>
    <w:p>
      <w:pPr>
        <w:pStyle w:val="Normal"/>
        <w:bidi w:val="0"/>
        <w:jc w:val="left"/>
        <w:rPr/>
      </w:pPr>
      <w:r>
        <w:rPr/>
        <w:br/>
      </w:r>
    </w:p>
    <w:p>
      <w:pPr>
        <w:pStyle w:val="Normal"/>
        <w:bidi w:val="0"/>
        <w:spacing w:lineRule="auto" w:line="240"/>
        <w:jc w:val="center"/>
        <w:rPr/>
      </w:pPr>
      <w:r>
        <w:rPr>
          <w:b/>
          <w:sz w:val="28"/>
        </w:rPr>
        <w:t>BILJEŠKE UZ FINANCIJSKE IZVJEŠTAJE</w:t>
      </w:r>
    </w:p>
    <w:p>
      <w:pPr>
        <w:pStyle w:val="Normal"/>
        <w:bidi w:val="0"/>
        <w:spacing w:lineRule="auto" w:line="240"/>
        <w:jc w:val="center"/>
        <w:rPr/>
      </w:pPr>
      <w:r>
        <w:rPr>
          <w:b/>
          <w:sz w:val="28"/>
        </w:rPr>
        <w:t>ZA RAZDOBLJE</w:t>
      </w:r>
    </w:p>
    <w:p>
      <w:pPr>
        <w:pStyle w:val="Normal"/>
        <w:bidi w:val="0"/>
        <w:spacing w:lineRule="auto" w:line="240"/>
        <w:jc w:val="center"/>
        <w:rPr/>
      </w:pPr>
      <w:r>
        <w:rPr>
          <w:b/>
          <w:sz w:val="28"/>
        </w:rPr>
        <w:t>I - XII 2025.</w:t>
      </w:r>
    </w:p>
    <w:p>
      <w:pPr>
        <w:pStyle w:val="Normal"/>
        <w:bidi w:val="0"/>
        <w:jc w:val="left"/>
        <w:rPr/>
      </w:pPr>
      <w:r>
        <w:rPr/>
      </w:r>
    </w:p>
    <w:p>
      <w:pPr>
        <w:pStyle w:val="Normal"/>
        <w:keepNext w:val="true"/>
        <w:bidi w:val="0"/>
        <w:spacing w:lineRule="auto" w:line="240"/>
        <w:jc w:val="center"/>
        <w:rPr/>
      </w:pPr>
      <w:r>
        <w:rPr>
          <w:b/>
          <w:sz w:val="28"/>
        </w:rPr>
        <w:t>Izvještaj o prihodima i rashodima, primicima i izdacima</w:t>
      </w:r>
    </w:p>
    <w:p>
      <w:pPr>
        <w:pStyle w:val="Normal"/>
        <w:keepNext w:val="true"/>
        <w:bidi w:val="0"/>
        <w:spacing w:lineRule="auto" w:line="240"/>
        <w:jc w:val="center"/>
        <w:rPr/>
      </w:pPr>
      <w:r>
        <w:rPr>
          <w:sz w:val="28"/>
        </w:rPr>
        <w:t>Bilješka 1.</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6</w:t>
            </w:r>
          </w:p>
        </w:tc>
        <w:tc>
          <w:tcPr>
            <w:tcW w:w="317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PRIHODI POSLOVANJA (šifre 61+62+63+64+65+66+67+68)</w:t>
            </w:r>
          </w:p>
        </w:tc>
        <w:tc>
          <w:tcPr>
            <w:tcW w:w="701"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6</w:t>
            </w:r>
          </w:p>
        </w:tc>
        <w:tc>
          <w:tcPr>
            <w:tcW w:w="1860"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sz w:val="18"/>
              </w:rPr>
              <w:t>11.663.523,25</w:t>
            </w:r>
          </w:p>
        </w:tc>
        <w:tc>
          <w:tcPr>
            <w:tcW w:w="185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sz w:val="18"/>
              </w:rPr>
              <w:t>12.134.811,41</w:t>
            </w:r>
          </w:p>
        </w:tc>
        <w:tc>
          <w:tcPr>
            <w:tcW w:w="700" w:type="dxa"/>
            <w:tcBorders>
              <w:top w:val="single" w:sz="8" w:space="0" w:color="BABABA"/>
              <w:left w:val="single" w:sz="8" w:space="0" w:color="DADADA"/>
              <w:bottom w:val="single" w:sz="8" w:space="0" w:color="BABABA"/>
              <w:right w:val="single" w:sz="12" w:space="0" w:color="BABABA"/>
            </w:tcBorders>
            <w:vAlign w:val="center"/>
          </w:tcPr>
          <w:p>
            <w:pPr>
              <w:pStyle w:val="Normal"/>
              <w:keepNext w:val="true"/>
              <w:keepLines/>
              <w:bidi w:val="0"/>
              <w:spacing w:lineRule="auto" w:line="240" w:before="0" w:after="0"/>
              <w:jc w:val="right"/>
              <w:rPr/>
            </w:pPr>
            <w:r>
              <w:rPr>
                <w:sz w:val="18"/>
              </w:rPr>
              <w:t>104,0</w:t>
            </w:r>
          </w:p>
        </w:tc>
      </w:tr>
      <w:tr>
        <w:trPr>
          <w:trHeight w:val="560" w:hRule="atLeast"/>
          <w:cantSplit w:val="true"/>
        </w:trPr>
        <w:tc>
          <w:tcPr>
            <w:tcW w:w="700" w:type="dxa"/>
            <w:tcBorders>
              <w:top w:val="single" w:sz="8" w:space="0" w:color="BABABA"/>
              <w:left w:val="single" w:sz="12" w:space="0" w:color="BABAB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3</w:t>
            </w:r>
          </w:p>
        </w:tc>
        <w:tc>
          <w:tcPr>
            <w:tcW w:w="317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RASHODI POSLOVANJA (šifre 31+32+34+35+36+37+38)</w:t>
            </w:r>
          </w:p>
        </w:tc>
        <w:tc>
          <w:tcPr>
            <w:tcW w:w="701"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3</w:t>
            </w:r>
          </w:p>
        </w:tc>
        <w:tc>
          <w:tcPr>
            <w:tcW w:w="1860"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sz w:val="18"/>
              </w:rPr>
              <w:t>13.675.920,32</w:t>
            </w:r>
          </w:p>
        </w:tc>
        <w:tc>
          <w:tcPr>
            <w:tcW w:w="185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sz w:val="18"/>
              </w:rPr>
              <w:t>14.802.375,92</w:t>
            </w:r>
          </w:p>
        </w:tc>
        <w:tc>
          <w:tcPr>
            <w:tcW w:w="700" w:type="dxa"/>
            <w:tcBorders>
              <w:top w:val="single" w:sz="8" w:space="0" w:color="BABABA"/>
              <w:left w:val="single" w:sz="8" w:space="0" w:color="DADADA"/>
              <w:bottom w:val="single" w:sz="8" w:space="0" w:color="BABABA"/>
              <w:right w:val="single" w:sz="12" w:space="0" w:color="BABABA"/>
            </w:tcBorders>
            <w:vAlign w:val="center"/>
          </w:tcPr>
          <w:p>
            <w:pPr>
              <w:pStyle w:val="Normal"/>
              <w:keepNext w:val="true"/>
              <w:keepLines/>
              <w:bidi w:val="0"/>
              <w:spacing w:lineRule="auto" w:line="240" w:before="0" w:after="0"/>
              <w:jc w:val="right"/>
              <w:rPr/>
            </w:pPr>
            <w:r>
              <w:rPr>
                <w:sz w:val="18"/>
              </w:rPr>
              <w:t>108,2</w:t>
            </w:r>
          </w:p>
        </w:tc>
      </w:tr>
      <w:tr>
        <w:trPr>
          <w:trHeight w:val="560" w:hRule="atLeast"/>
          <w:cantSplit w:val="true"/>
        </w:trPr>
        <w:tc>
          <w:tcPr>
            <w:tcW w:w="700" w:type="dxa"/>
            <w:tcBorders>
              <w:top w:val="single" w:sz="8" w:space="0" w:color="BABABA"/>
              <w:left w:val="single" w:sz="12" w:space="0" w:color="BABABA"/>
              <w:bottom w:val="single" w:sz="8" w:space="0" w:color="BABABA"/>
              <w:right w:val="single" w:sz="8" w:space="0" w:color="DADADA"/>
            </w:tcBorders>
            <w:vAlign w:val="center"/>
          </w:tcPr>
          <w:p>
            <w:pPr>
              <w:pStyle w:val="Normal"/>
              <w:keepNext w:val="true"/>
              <w:keepLines/>
              <w:bidi w:val="0"/>
              <w:spacing w:lineRule="auto" w:line="240" w:before="0" w:after="0"/>
              <w:jc w:val="left"/>
              <w:rPr>
                <w:rFonts w:ascii="Times New Roman" w:hAnsi="Times New Roman"/>
                <w:b/>
                <w:sz w:val="18"/>
              </w:rPr>
            </w:pPr>
            <w:r>
              <w:rPr>
                <w:b/>
                <w:sz w:val="18"/>
              </w:rPr>
            </w:r>
          </w:p>
        </w:tc>
        <w:tc>
          <w:tcPr>
            <w:tcW w:w="317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b/>
                <w:sz w:val="18"/>
              </w:rPr>
              <w:t>MANJAK PRIHODA POSLOVANJA (šifre Z005-6)</w:t>
            </w:r>
          </w:p>
        </w:tc>
        <w:tc>
          <w:tcPr>
            <w:tcW w:w="701"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b/>
                <w:sz w:val="18"/>
              </w:rPr>
              <w:t>Y001</w:t>
            </w:r>
          </w:p>
        </w:tc>
        <w:tc>
          <w:tcPr>
            <w:tcW w:w="1860"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b/>
                <w:sz w:val="18"/>
              </w:rPr>
              <w:t>2.012.397,07</w:t>
            </w:r>
          </w:p>
        </w:tc>
        <w:tc>
          <w:tcPr>
            <w:tcW w:w="185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b/>
                <w:sz w:val="18"/>
              </w:rPr>
              <w:t>2.667.564,51</w:t>
            </w:r>
          </w:p>
        </w:tc>
        <w:tc>
          <w:tcPr>
            <w:tcW w:w="700" w:type="dxa"/>
            <w:tcBorders>
              <w:top w:val="single" w:sz="8" w:space="0" w:color="BABABA"/>
              <w:left w:val="single" w:sz="8" w:space="0" w:color="DADADA"/>
              <w:bottom w:val="single" w:sz="8" w:space="0" w:color="BABABA"/>
              <w:right w:val="single" w:sz="12" w:space="0" w:color="BABABA"/>
            </w:tcBorders>
            <w:vAlign w:val="center"/>
          </w:tcPr>
          <w:p>
            <w:pPr>
              <w:pStyle w:val="Normal"/>
              <w:keepNext w:val="true"/>
              <w:keepLines/>
              <w:bidi w:val="0"/>
              <w:spacing w:lineRule="auto" w:line="240" w:before="0" w:after="0"/>
              <w:jc w:val="right"/>
              <w:rPr/>
            </w:pPr>
            <w:r>
              <w:rPr>
                <w:b/>
                <w:sz w:val="18"/>
              </w:rPr>
              <w:t>132,6</w:t>
            </w:r>
          </w:p>
        </w:tc>
      </w:tr>
      <w:tr>
        <w:trPr>
          <w:trHeight w:val="560" w:hRule="atLeast"/>
          <w:cantSplit w:val="true"/>
        </w:trPr>
        <w:tc>
          <w:tcPr>
            <w:tcW w:w="700" w:type="dxa"/>
            <w:tcBorders>
              <w:top w:val="single" w:sz="8" w:space="0" w:color="BABABA"/>
              <w:left w:val="single" w:sz="12" w:space="0" w:color="BABAB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7</w:t>
            </w:r>
          </w:p>
        </w:tc>
        <w:tc>
          <w:tcPr>
            <w:tcW w:w="317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Prihodi od prodaje nefinancijske imovine (šifre 71+72+73+74)</w:t>
            </w:r>
          </w:p>
        </w:tc>
        <w:tc>
          <w:tcPr>
            <w:tcW w:w="701"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7</w:t>
            </w:r>
          </w:p>
        </w:tc>
        <w:tc>
          <w:tcPr>
            <w:tcW w:w="1860"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sz w:val="18"/>
              </w:rPr>
              <w:t>0,00</w:t>
            </w:r>
          </w:p>
        </w:tc>
        <w:tc>
          <w:tcPr>
            <w:tcW w:w="185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sz w:val="18"/>
              </w:rPr>
              <w:t>0,00</w:t>
            </w:r>
          </w:p>
        </w:tc>
        <w:tc>
          <w:tcPr>
            <w:tcW w:w="700" w:type="dxa"/>
            <w:tcBorders>
              <w:top w:val="single" w:sz="8" w:space="0" w:color="BABABA"/>
              <w:left w:val="single" w:sz="8" w:space="0" w:color="DADADA"/>
              <w:bottom w:val="single" w:sz="8" w:space="0" w:color="BABABA"/>
              <w:right w:val="single" w:sz="12" w:space="0" w:color="BABABA"/>
            </w:tcBorders>
            <w:vAlign w:val="center"/>
          </w:tcPr>
          <w:p>
            <w:pPr>
              <w:pStyle w:val="Normal"/>
              <w:keepNext w:val="true"/>
              <w:keepLines/>
              <w:bidi w:val="0"/>
              <w:spacing w:lineRule="auto" w:line="240" w:before="0" w:after="0"/>
              <w:jc w:val="right"/>
              <w:rPr/>
            </w:pPr>
            <w:r>
              <w:rPr>
                <w:sz w:val="18"/>
              </w:rPr>
              <w:t>-</w:t>
            </w:r>
          </w:p>
        </w:tc>
      </w:tr>
      <w:tr>
        <w:trPr>
          <w:trHeight w:val="560" w:hRule="atLeast"/>
          <w:cantSplit w:val="true"/>
        </w:trPr>
        <w:tc>
          <w:tcPr>
            <w:tcW w:w="700" w:type="dxa"/>
            <w:tcBorders>
              <w:top w:val="single" w:sz="8" w:space="0" w:color="BABABA"/>
              <w:left w:val="single" w:sz="12" w:space="0" w:color="BABAB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4</w:t>
            </w:r>
          </w:p>
        </w:tc>
        <w:tc>
          <w:tcPr>
            <w:tcW w:w="317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Rashodi za nabavu nefinancijske imovine (šifre 41+42+43+44+45)</w:t>
            </w:r>
          </w:p>
        </w:tc>
        <w:tc>
          <w:tcPr>
            <w:tcW w:w="701"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4</w:t>
            </w:r>
          </w:p>
        </w:tc>
        <w:tc>
          <w:tcPr>
            <w:tcW w:w="1860"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sz w:val="18"/>
              </w:rPr>
              <w:t>496.350,71</w:t>
            </w:r>
          </w:p>
        </w:tc>
        <w:tc>
          <w:tcPr>
            <w:tcW w:w="185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sz w:val="18"/>
              </w:rPr>
              <w:t>889.150,10</w:t>
            </w:r>
          </w:p>
        </w:tc>
        <w:tc>
          <w:tcPr>
            <w:tcW w:w="700" w:type="dxa"/>
            <w:tcBorders>
              <w:top w:val="single" w:sz="8" w:space="0" w:color="BABABA"/>
              <w:left w:val="single" w:sz="8" w:space="0" w:color="DADADA"/>
              <w:bottom w:val="single" w:sz="8" w:space="0" w:color="BABABA"/>
              <w:right w:val="single" w:sz="12" w:space="0" w:color="BABABA"/>
            </w:tcBorders>
            <w:vAlign w:val="center"/>
          </w:tcPr>
          <w:p>
            <w:pPr>
              <w:pStyle w:val="Normal"/>
              <w:keepNext w:val="true"/>
              <w:keepLines/>
              <w:bidi w:val="0"/>
              <w:spacing w:lineRule="auto" w:line="240" w:before="0" w:after="0"/>
              <w:jc w:val="right"/>
              <w:rPr/>
            </w:pPr>
            <w:r>
              <w:rPr>
                <w:sz w:val="18"/>
              </w:rPr>
              <w:t>179,1</w:t>
            </w:r>
          </w:p>
        </w:tc>
      </w:tr>
      <w:tr>
        <w:trPr>
          <w:trHeight w:val="560" w:hRule="atLeast"/>
          <w:cantSplit w:val="true"/>
        </w:trPr>
        <w:tc>
          <w:tcPr>
            <w:tcW w:w="700" w:type="dxa"/>
            <w:tcBorders>
              <w:top w:val="single" w:sz="8" w:space="0" w:color="BABABA"/>
              <w:left w:val="single" w:sz="12" w:space="0" w:color="BABABA"/>
              <w:bottom w:val="single" w:sz="8" w:space="0" w:color="BABABA"/>
              <w:right w:val="single" w:sz="8" w:space="0" w:color="DADADA"/>
            </w:tcBorders>
            <w:vAlign w:val="center"/>
          </w:tcPr>
          <w:p>
            <w:pPr>
              <w:pStyle w:val="Normal"/>
              <w:keepNext w:val="true"/>
              <w:keepLines/>
              <w:bidi w:val="0"/>
              <w:spacing w:lineRule="auto" w:line="240" w:before="0" w:after="0"/>
              <w:jc w:val="left"/>
              <w:rPr>
                <w:rFonts w:ascii="Times New Roman" w:hAnsi="Times New Roman"/>
                <w:b/>
                <w:sz w:val="18"/>
              </w:rPr>
            </w:pPr>
            <w:r>
              <w:rPr>
                <w:b/>
                <w:sz w:val="18"/>
              </w:rPr>
            </w:r>
          </w:p>
        </w:tc>
        <w:tc>
          <w:tcPr>
            <w:tcW w:w="317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b/>
                <w:sz w:val="18"/>
              </w:rPr>
              <w:t>MANJAK PRIHODA OD NEFINANCIJSKE IMOVINE (šifre 4-7)</w:t>
            </w:r>
          </w:p>
        </w:tc>
        <w:tc>
          <w:tcPr>
            <w:tcW w:w="701"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b/>
                <w:sz w:val="18"/>
              </w:rPr>
              <w:t>Y002</w:t>
            </w:r>
          </w:p>
        </w:tc>
        <w:tc>
          <w:tcPr>
            <w:tcW w:w="1860"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b/>
                <w:sz w:val="18"/>
              </w:rPr>
              <w:t>496.350,71</w:t>
            </w:r>
          </w:p>
        </w:tc>
        <w:tc>
          <w:tcPr>
            <w:tcW w:w="185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b/>
                <w:sz w:val="18"/>
              </w:rPr>
              <w:t>889.150,10</w:t>
            </w:r>
          </w:p>
        </w:tc>
        <w:tc>
          <w:tcPr>
            <w:tcW w:w="700" w:type="dxa"/>
            <w:tcBorders>
              <w:top w:val="single" w:sz="8" w:space="0" w:color="BABABA"/>
              <w:left w:val="single" w:sz="8" w:space="0" w:color="DADADA"/>
              <w:bottom w:val="single" w:sz="8" w:space="0" w:color="BABABA"/>
              <w:right w:val="single" w:sz="12" w:space="0" w:color="BABABA"/>
            </w:tcBorders>
            <w:vAlign w:val="center"/>
          </w:tcPr>
          <w:p>
            <w:pPr>
              <w:pStyle w:val="Normal"/>
              <w:keepNext w:val="true"/>
              <w:keepLines/>
              <w:bidi w:val="0"/>
              <w:spacing w:lineRule="auto" w:line="240" w:before="0" w:after="0"/>
              <w:jc w:val="right"/>
              <w:rPr/>
            </w:pPr>
            <w:r>
              <w:rPr>
                <w:b/>
                <w:sz w:val="18"/>
              </w:rPr>
              <w:t>179,1</w:t>
            </w:r>
          </w:p>
        </w:tc>
      </w:tr>
      <w:tr>
        <w:trPr>
          <w:trHeight w:val="560" w:hRule="atLeast"/>
          <w:cantSplit w:val="true"/>
        </w:trPr>
        <w:tc>
          <w:tcPr>
            <w:tcW w:w="700" w:type="dxa"/>
            <w:tcBorders>
              <w:top w:val="single" w:sz="8" w:space="0" w:color="BABABA"/>
              <w:left w:val="single" w:sz="12" w:space="0" w:color="BABAB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8</w:t>
            </w:r>
          </w:p>
        </w:tc>
        <w:tc>
          <w:tcPr>
            <w:tcW w:w="317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Primici od financijske imovine i zaduživanja (šifre 81+82+83+84+85)</w:t>
            </w:r>
          </w:p>
        </w:tc>
        <w:tc>
          <w:tcPr>
            <w:tcW w:w="701"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8</w:t>
            </w:r>
          </w:p>
        </w:tc>
        <w:tc>
          <w:tcPr>
            <w:tcW w:w="1860"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sz w:val="18"/>
              </w:rPr>
              <w:t>0,00</w:t>
            </w:r>
          </w:p>
        </w:tc>
        <w:tc>
          <w:tcPr>
            <w:tcW w:w="185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sz w:val="18"/>
              </w:rPr>
              <w:t>0,00</w:t>
            </w:r>
          </w:p>
        </w:tc>
        <w:tc>
          <w:tcPr>
            <w:tcW w:w="700" w:type="dxa"/>
            <w:tcBorders>
              <w:top w:val="single" w:sz="8" w:space="0" w:color="BABABA"/>
              <w:left w:val="single" w:sz="8" w:space="0" w:color="DADADA"/>
              <w:bottom w:val="single" w:sz="8" w:space="0" w:color="BABABA"/>
              <w:right w:val="single" w:sz="12" w:space="0" w:color="BABABA"/>
            </w:tcBorders>
            <w:vAlign w:val="center"/>
          </w:tcPr>
          <w:p>
            <w:pPr>
              <w:pStyle w:val="Normal"/>
              <w:keepNext w:val="true"/>
              <w:keepLines/>
              <w:bidi w:val="0"/>
              <w:spacing w:lineRule="auto" w:line="240" w:before="0" w:after="0"/>
              <w:jc w:val="right"/>
              <w:rPr/>
            </w:pPr>
            <w:r>
              <w:rPr>
                <w:sz w:val="18"/>
              </w:rPr>
              <w:t>-</w:t>
            </w:r>
          </w:p>
        </w:tc>
      </w:tr>
      <w:tr>
        <w:trPr>
          <w:trHeight w:val="560" w:hRule="atLeast"/>
          <w:cantSplit w:val="true"/>
        </w:trPr>
        <w:tc>
          <w:tcPr>
            <w:tcW w:w="700" w:type="dxa"/>
            <w:tcBorders>
              <w:top w:val="single" w:sz="8" w:space="0" w:color="BABABA"/>
              <w:left w:val="single" w:sz="12" w:space="0" w:color="BABAB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5</w:t>
            </w:r>
          </w:p>
        </w:tc>
        <w:tc>
          <w:tcPr>
            <w:tcW w:w="317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Izdaci za financijsku imovinu i otplate zajmova (šifre 51+52+53+54+55)</w:t>
            </w:r>
          </w:p>
        </w:tc>
        <w:tc>
          <w:tcPr>
            <w:tcW w:w="701"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sz w:val="18"/>
              </w:rPr>
              <w:t>5</w:t>
            </w:r>
          </w:p>
        </w:tc>
        <w:tc>
          <w:tcPr>
            <w:tcW w:w="1860"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sz w:val="18"/>
              </w:rPr>
              <w:t>0,00</w:t>
            </w:r>
          </w:p>
        </w:tc>
        <w:tc>
          <w:tcPr>
            <w:tcW w:w="185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sz w:val="18"/>
              </w:rPr>
              <w:t>0,00</w:t>
            </w:r>
          </w:p>
        </w:tc>
        <w:tc>
          <w:tcPr>
            <w:tcW w:w="700" w:type="dxa"/>
            <w:tcBorders>
              <w:top w:val="single" w:sz="8" w:space="0" w:color="BABABA"/>
              <w:left w:val="single" w:sz="8" w:space="0" w:color="DADADA"/>
              <w:bottom w:val="single" w:sz="8" w:space="0" w:color="BABABA"/>
              <w:right w:val="single" w:sz="12" w:space="0" w:color="BABABA"/>
            </w:tcBorders>
            <w:vAlign w:val="center"/>
          </w:tcPr>
          <w:p>
            <w:pPr>
              <w:pStyle w:val="Normal"/>
              <w:keepNext w:val="true"/>
              <w:keepLines/>
              <w:bidi w:val="0"/>
              <w:spacing w:lineRule="auto" w:line="240" w:before="0" w:after="0"/>
              <w:jc w:val="right"/>
              <w:rPr/>
            </w:pPr>
            <w:r>
              <w:rPr>
                <w:sz w:val="18"/>
              </w:rPr>
              <w:t>-</w:t>
            </w:r>
          </w:p>
        </w:tc>
      </w:tr>
      <w:tr>
        <w:trPr>
          <w:trHeight w:val="560" w:hRule="atLeast"/>
          <w:cantSplit w:val="true"/>
        </w:trPr>
        <w:tc>
          <w:tcPr>
            <w:tcW w:w="700" w:type="dxa"/>
            <w:tcBorders>
              <w:top w:val="single" w:sz="8" w:space="0" w:color="BABABA"/>
              <w:left w:val="single" w:sz="12" w:space="0" w:color="BABABA"/>
              <w:bottom w:val="single" w:sz="8" w:space="0" w:color="BABABA"/>
              <w:right w:val="single" w:sz="8" w:space="0" w:color="DADADA"/>
            </w:tcBorders>
            <w:vAlign w:val="center"/>
          </w:tcPr>
          <w:p>
            <w:pPr>
              <w:pStyle w:val="Normal"/>
              <w:keepNext w:val="true"/>
              <w:keepLines/>
              <w:bidi w:val="0"/>
              <w:spacing w:lineRule="auto" w:line="240" w:before="0" w:after="0"/>
              <w:jc w:val="left"/>
              <w:rPr>
                <w:rFonts w:ascii="Times New Roman" w:hAnsi="Times New Roman"/>
                <w:b/>
                <w:sz w:val="18"/>
              </w:rPr>
            </w:pPr>
            <w:r>
              <w:rPr>
                <w:b/>
                <w:sz w:val="18"/>
              </w:rPr>
            </w:r>
          </w:p>
        </w:tc>
        <w:tc>
          <w:tcPr>
            <w:tcW w:w="317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b/>
                <w:sz w:val="18"/>
              </w:rPr>
              <w:t>VIŠAK/MANJAK PRIMITAKA OD FINANCIJSKE IMOVINE I ZADUŽIVANJA (šifre 8-5, 5-8)</w:t>
            </w:r>
          </w:p>
        </w:tc>
        <w:tc>
          <w:tcPr>
            <w:tcW w:w="701"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left"/>
              <w:rPr/>
            </w:pPr>
            <w:r>
              <w:rPr>
                <w:b/>
                <w:sz w:val="18"/>
              </w:rPr>
              <w:t>X003, Y003</w:t>
            </w:r>
          </w:p>
        </w:tc>
        <w:tc>
          <w:tcPr>
            <w:tcW w:w="1860"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b/>
                <w:sz w:val="18"/>
              </w:rPr>
              <w:t>0,00</w:t>
            </w:r>
          </w:p>
        </w:tc>
        <w:tc>
          <w:tcPr>
            <w:tcW w:w="1859" w:type="dxa"/>
            <w:tcBorders>
              <w:top w:val="single" w:sz="8" w:space="0" w:color="BABABA"/>
              <w:left w:val="single" w:sz="8" w:space="0" w:color="DADADA"/>
              <w:bottom w:val="single" w:sz="8" w:space="0" w:color="BABABA"/>
              <w:right w:val="single" w:sz="8" w:space="0" w:color="DADADA"/>
            </w:tcBorders>
            <w:vAlign w:val="center"/>
          </w:tcPr>
          <w:p>
            <w:pPr>
              <w:pStyle w:val="Normal"/>
              <w:keepNext w:val="true"/>
              <w:keepLines/>
              <w:bidi w:val="0"/>
              <w:spacing w:lineRule="auto" w:line="240" w:before="0" w:after="0"/>
              <w:jc w:val="right"/>
              <w:rPr/>
            </w:pPr>
            <w:r>
              <w:rPr>
                <w:b/>
                <w:sz w:val="18"/>
              </w:rPr>
              <w:t>0,00</w:t>
            </w:r>
          </w:p>
        </w:tc>
        <w:tc>
          <w:tcPr>
            <w:tcW w:w="700" w:type="dxa"/>
            <w:tcBorders>
              <w:top w:val="single" w:sz="8" w:space="0" w:color="BABABA"/>
              <w:left w:val="single" w:sz="8" w:space="0" w:color="DADADA"/>
              <w:bottom w:val="single" w:sz="8" w:space="0" w:color="BABABA"/>
              <w:right w:val="single" w:sz="12" w:space="0" w:color="BABABA"/>
            </w:tcBorders>
            <w:vAlign w:val="center"/>
          </w:tcPr>
          <w:p>
            <w:pPr>
              <w:pStyle w:val="Normal"/>
              <w:keepNext w:val="true"/>
              <w:keepLines/>
              <w:bidi w:val="0"/>
              <w:spacing w:lineRule="auto" w:line="240" w:before="0" w:after="0"/>
              <w:jc w:val="right"/>
              <w:rPr/>
            </w:pPr>
            <w:r>
              <w:rPr>
                <w:b/>
                <w:sz w:val="18"/>
              </w:rPr>
              <w:t>-</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rFonts w:ascii="Times New Roman" w:hAnsi="Times New Roman"/>
                <w:b/>
                <w:sz w:val="18"/>
              </w:rPr>
            </w:pPr>
            <w:r>
              <w:rPr>
                <w:b/>
                <w:sz w:val="18"/>
              </w:rPr>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b/>
                <w:sz w:val="18"/>
              </w:rPr>
              <w:t>MANJAK PRIHODA I PRIMITAKA (šifre Y345-X678)</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b/>
                <w:sz w:val="18"/>
              </w:rPr>
              <w:t>Y005</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b/>
                <w:sz w:val="18"/>
              </w:rPr>
              <w:t>2.508.747,78</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b/>
                <w:sz w:val="18"/>
              </w:rPr>
              <w:t>3.556.714,61</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b/>
                <w:sz w:val="18"/>
              </w:rPr>
              <w:t>141,8</w:t>
            </w:r>
          </w:p>
        </w:tc>
      </w:tr>
    </w:tbl>
    <w:p>
      <w:pPr>
        <w:pStyle w:val="Normal"/>
        <w:bidi w:val="0"/>
        <w:spacing w:before="0" w:after="0"/>
        <w:jc w:val="left"/>
        <w:rPr/>
      </w:pPr>
      <w:r>
        <w:rPr/>
      </w:r>
    </w:p>
    <w:p>
      <w:pPr>
        <w:pStyle w:val="Normal"/>
        <w:bidi w:val="0"/>
        <w:jc w:val="left"/>
        <w:rPr/>
      </w:pPr>
      <w:r>
        <w:rPr/>
        <w:t>U razdoblju od 1. siječnja do 31. prosinca 2025. prihodi poslovanja ostvareni su u iznosu od 12.134.811,41 EUR. Najznačajnije povećanje prihoda poslovanja ostvareno je od pomoći od inozemnih vlada i prihoda iz nadležnog proračuna za financiranje redovne djelatnosti proračunskih korisnika. Najznačajnije smanjenje prihoda poslovanja bilježi se na prihodima od tekućih pomoći od izvanproračunskih korisnika, prihoda od zateznih kamata i ostalih prihoda. Rashodi poslovanja u razdoblju od 1. siječnja do 31. prosinca 2025. ostvareni su u iznosu od 14.802.375,92 EUR. Najznačajnije povećanje rashoda evidentirano je na premijama osiguranja uslijed ugovaranja premija osiguranja za odgovornost i imovinu temeljem provedene objedinjenje nabave. Najznačajnije smanjenje rashoda poslovanja bilježi se na rashodima za materijal i energiju zbog primjene novog Pravilnika o proračunskom računovodstvu i Računskom planu (Narodne novine, br. 158/23. i 154/24.). Od 1. siječnja 2025. rashodi za lijekove i potrošni medicinski materijal kod zdravstvenih ustanova knjiži se na novu podskupinu 325 rashodi lijekova i potrošnog medicinskog materijala kod zdravstvenih ustanova radi veće transparentnosti i boljeg praćenja potrošnje lijekova i potrošnog medicinskog materijala kod zdravstvenih ustanova. U navedenom razdoblju nema ostvarenih prihoda od prodaje nefinancijske imovine, dok su rashodi za nabavu nefinancijske imovine ostvareni u iznosu od 889.150,10 EUR. Navedeni rashodi odnose se na nabavu licenci, računala i računalne opreme, uredskog namještaja, medicinske opreme, ulaganja u računalne programe i dodatna ulaganja na postrojenjima. U navedenom razdoblju nije bilo ostvarenih primitaka i izdataka od financijske imovine i zaduživanja. U razdoblju od 1. siječnja do 31. prosinca 2025. ostvaren je manjak prihoda poslovanja u iznosu od 2.667.564,51 EUR, manjak prihoda od nefinancijske imovine u iznosu od 889.150,10 EUR, slijedom čega je na kraju izvještajnog razdoblja ostvaren ukupan manjak prihoda i primitaka u iznosu od 3.556.714,61 EUR.</w:t>
      </w:r>
    </w:p>
    <w:p>
      <w:pPr>
        <w:pStyle w:val="Normal"/>
        <w:bidi w:val="0"/>
        <w:jc w:val="left"/>
        <w:rPr/>
      </w:pPr>
      <w:r>
        <w:rPr/>
        <w:br/>
      </w:r>
    </w:p>
    <w:p>
      <w:pPr>
        <w:pStyle w:val="Normal"/>
        <w:keepNext w:val="true"/>
        <w:bidi w:val="0"/>
        <w:spacing w:lineRule="auto" w:line="240"/>
        <w:jc w:val="center"/>
        <w:rPr/>
      </w:pPr>
      <w:r>
        <w:rPr>
          <w:sz w:val="28"/>
        </w:rPr>
        <w:t>Bilješka 2.</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PRIHODI POSLOVANJA (šifre 61+62+63+64+65+66+67+68)</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11.663.523,25</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12.134.811,41</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104,0</w:t>
            </w:r>
          </w:p>
        </w:tc>
      </w:tr>
    </w:tbl>
    <w:p>
      <w:pPr>
        <w:pStyle w:val="Normal"/>
        <w:bidi w:val="0"/>
        <w:spacing w:before="0" w:after="0"/>
        <w:jc w:val="left"/>
        <w:rPr/>
      </w:pPr>
      <w:r>
        <w:rPr/>
      </w:r>
    </w:p>
    <w:p>
      <w:pPr>
        <w:pStyle w:val="Normal"/>
        <w:bidi w:val="0"/>
        <w:jc w:val="left"/>
        <w:rPr/>
      </w:pPr>
      <w:r>
        <w:rPr/>
        <w:t>Prihodi poslovanja (šifra 6) iznose 12.134.811,41 EUR i u odnosu na ostvareno u izvještajnom razdoblju prethodne godine veći su za 4,0 %.</w:t>
      </w:r>
    </w:p>
    <w:p>
      <w:pPr>
        <w:pStyle w:val="Normal"/>
        <w:bidi w:val="0"/>
        <w:jc w:val="left"/>
        <w:rPr/>
      </w:pPr>
      <w:r>
        <w:rPr/>
      </w:r>
    </w:p>
    <w:p>
      <w:pPr>
        <w:pStyle w:val="Normal"/>
        <w:keepNext w:val="true"/>
        <w:bidi w:val="0"/>
        <w:spacing w:lineRule="auto" w:line="240"/>
        <w:jc w:val="center"/>
        <w:rPr/>
      </w:pPr>
      <w:r>
        <w:rPr>
          <w:sz w:val="28"/>
        </w:rPr>
        <w:t>Bilješka 3.</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631</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Pomoći od inozemnih vlada (šifre 6311+6312)</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631</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0,00</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211.318,92</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w:t>
            </w:r>
          </w:p>
        </w:tc>
      </w:tr>
    </w:tbl>
    <w:p>
      <w:pPr>
        <w:pStyle w:val="Normal"/>
        <w:bidi w:val="0"/>
        <w:spacing w:before="0" w:after="0"/>
        <w:jc w:val="left"/>
        <w:rPr/>
      </w:pPr>
      <w:r>
        <w:rPr/>
      </w:r>
    </w:p>
    <w:p>
      <w:pPr>
        <w:pStyle w:val="Normal"/>
        <w:bidi w:val="0"/>
        <w:jc w:val="left"/>
        <w:rPr/>
      </w:pPr>
      <w:r>
        <w:rPr/>
        <w:t>Pomoći od inozemnih vlada (šifre 6311+6312) odnosi se na pomoć Veleposlanstva Sjedinjenih država Bolnici u vidu kapitalne pomoći (kupnja pedijatrijskog ultrazvuka i digitalnog mobilnog X-RAY sistema s pripadajućom opremom) u iznosu od 211.318,92 EUR. </w:t>
      </w:r>
    </w:p>
    <w:p>
      <w:pPr>
        <w:pStyle w:val="Normal"/>
        <w:bidi w:val="0"/>
        <w:jc w:val="left"/>
        <w:rPr/>
      </w:pPr>
      <w:r>
        <w:rPr/>
      </w:r>
    </w:p>
    <w:p>
      <w:pPr>
        <w:pStyle w:val="Normal"/>
        <w:keepNext w:val="true"/>
        <w:bidi w:val="0"/>
        <w:spacing w:lineRule="auto" w:line="240"/>
        <w:jc w:val="center"/>
        <w:rPr/>
      </w:pPr>
      <w:r>
        <w:rPr>
          <w:sz w:val="28"/>
        </w:rPr>
        <w:t>Bilješka 4.</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634</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Pomoći od izvanproračunskih korisnika (šifre 6341+6342)</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634</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63.920,04</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0,00</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0</w:t>
            </w:r>
          </w:p>
        </w:tc>
      </w:tr>
    </w:tbl>
    <w:p>
      <w:pPr>
        <w:pStyle w:val="Normal"/>
        <w:bidi w:val="0"/>
        <w:spacing w:before="0" w:after="0"/>
        <w:jc w:val="left"/>
        <w:rPr/>
      </w:pPr>
      <w:r>
        <w:rPr/>
      </w:r>
    </w:p>
    <w:p>
      <w:pPr>
        <w:pStyle w:val="Normal"/>
        <w:bidi w:val="0"/>
        <w:jc w:val="left"/>
        <w:rPr/>
      </w:pPr>
      <w:r>
        <w:rPr/>
        <w:t>Pomoći od izvanproračunskih korisnika u promatranom razdoblju 2025. godine nije bilo a u izvještajnom razdoblju prethodne godine odnosi se na pomoć od Hrvatskog zavoda za zapošljavanje za financiranje mjere zapošljavanja zdravstvenih pripravnika.</w:t>
      </w:r>
    </w:p>
    <w:p>
      <w:pPr>
        <w:pStyle w:val="Normal"/>
        <w:bidi w:val="0"/>
        <w:jc w:val="left"/>
        <w:rPr/>
      </w:pPr>
      <w:r>
        <w:rPr/>
      </w:r>
    </w:p>
    <w:p>
      <w:pPr>
        <w:pStyle w:val="Normal"/>
        <w:keepNext w:val="true"/>
        <w:bidi w:val="0"/>
        <w:spacing w:lineRule="auto" w:line="240"/>
        <w:jc w:val="center"/>
        <w:rPr/>
      </w:pPr>
      <w:r>
        <w:rPr>
          <w:sz w:val="28"/>
        </w:rPr>
        <w:t>Bilješka 5.</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636</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Pomoći proračunskim korisnicima iz proračuna koji im nije nadležan (šifre 6361+6362)</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636</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8.222,43</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700,00</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8,5</w:t>
            </w:r>
          </w:p>
        </w:tc>
      </w:tr>
    </w:tbl>
    <w:p>
      <w:pPr>
        <w:pStyle w:val="Normal"/>
        <w:bidi w:val="0"/>
        <w:spacing w:before="0" w:after="0"/>
        <w:jc w:val="left"/>
        <w:rPr/>
      </w:pPr>
      <w:r>
        <w:rPr/>
      </w:r>
    </w:p>
    <w:p>
      <w:pPr>
        <w:pStyle w:val="Normal"/>
        <w:bidi w:val="0"/>
        <w:jc w:val="left"/>
        <w:rPr/>
      </w:pPr>
      <w:r>
        <w:rPr/>
        <w:t>U izvještajnom razdoblju od 1. siječnja do 31. prosinca 2025. ostvareno se odnosi na pomoć Općine Biskupije za opremanje kuhinje u ravnateljstvu Bolnice  i Općine Kistanje za obnovu Jedinice za intezivno liječenje a ostvareno u izvještajnom razdoblju prethodne godine se odnosi na tekuće pomoći Općine Biskupije, Grada Knina i Općine Klis dodjela sredstava za organizaciju proslave Međunarodnog dana sestrinstva te kapitalne pomoći Općine Kistanje, Općine Biskupije i Općine Hrvace u svrhu nabave kreveta za Odjel pedijatrije.</w:t>
      </w:r>
    </w:p>
    <w:p>
      <w:pPr>
        <w:pStyle w:val="Normal"/>
        <w:bidi w:val="0"/>
        <w:jc w:val="left"/>
        <w:rPr/>
      </w:pPr>
      <w:r>
        <w:rPr/>
      </w:r>
    </w:p>
    <w:p>
      <w:pPr>
        <w:pStyle w:val="Normal"/>
        <w:keepNext w:val="true"/>
        <w:bidi w:val="0"/>
        <w:spacing w:lineRule="auto" w:line="240"/>
        <w:jc w:val="center"/>
        <w:rPr/>
      </w:pPr>
      <w:r>
        <w:rPr>
          <w:sz w:val="28"/>
        </w:rPr>
        <w:t>Bilješka 6.</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639</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Prijenosi između proračunskih korisnika istog proračuna (šifre 6391 do 6394)</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639</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16.800,00</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0,00</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0</w:t>
            </w:r>
          </w:p>
        </w:tc>
      </w:tr>
    </w:tbl>
    <w:p>
      <w:pPr>
        <w:pStyle w:val="Normal"/>
        <w:bidi w:val="0"/>
        <w:spacing w:before="0" w:after="0"/>
        <w:jc w:val="left"/>
        <w:rPr/>
      </w:pPr>
      <w:r>
        <w:rPr/>
      </w:r>
    </w:p>
    <w:p>
      <w:pPr>
        <w:pStyle w:val="Normal"/>
        <w:bidi w:val="0"/>
        <w:jc w:val="left"/>
        <w:rPr/>
      </w:pPr>
      <w:r>
        <w:rPr/>
        <w:t>Ostvareno u 2024. godini odnosi se na program prekogranične suradnje sa županijskom bolnicom "Dr. fra M.Sučić" Livno” u kojoj je Bolnica bila partner i temeljem toga ostvarila sredstva za kupnju sedam bolničkih kreveta za Odjel kirurgije temeljem natječaja Ministarstva regionalnog razvoja i fondova Europske unije. S obzirom da je Bolnica od 01.01.2024. godine proračunski korisnik državnog proračuna sredstva su knjižena na skupinu 639.</w:t>
      </w:r>
    </w:p>
    <w:p>
      <w:pPr>
        <w:pStyle w:val="Normal"/>
        <w:bidi w:val="0"/>
        <w:jc w:val="left"/>
        <w:rPr/>
      </w:pPr>
      <w:r>
        <w:rPr/>
      </w:r>
    </w:p>
    <w:p>
      <w:pPr>
        <w:pStyle w:val="Normal"/>
        <w:keepNext w:val="true"/>
        <w:bidi w:val="0"/>
        <w:spacing w:lineRule="auto" w:line="240"/>
        <w:jc w:val="center"/>
        <w:rPr/>
      </w:pPr>
      <w:r>
        <w:rPr>
          <w:sz w:val="28"/>
        </w:rPr>
        <w:t>Bilješka 7.</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641</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Prihodi od financijske imovine (šifre 6412 do 6419)</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641</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30.438,71</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167,50</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0,6</w:t>
            </w:r>
          </w:p>
        </w:tc>
      </w:tr>
    </w:tbl>
    <w:p>
      <w:pPr>
        <w:pStyle w:val="Normal"/>
        <w:bidi w:val="0"/>
        <w:spacing w:before="0" w:after="0"/>
        <w:jc w:val="left"/>
        <w:rPr/>
      </w:pPr>
      <w:r>
        <w:rPr/>
      </w:r>
    </w:p>
    <w:p>
      <w:pPr>
        <w:pStyle w:val="Normal"/>
        <w:bidi w:val="0"/>
        <w:jc w:val="left"/>
        <w:rPr/>
      </w:pPr>
      <w:r>
        <w:rPr/>
        <w:t>Prihodi od financijske imovine (šifre 6412 do 6419) u 2024. godini iznos od 30.432,41 eura se odnosi na primljena sredstva za zatezne kamate od dugogodišnjeg spora za naknadu štete po ugovoru o međusobnim pravima s naslova specijalizacije. U odnosu na izvještajno razdoblju prethodne godine ostvareni iznos u 2025. godini je od naplate provedenih ovrha za nenaplaćenu participaciju i usluge.</w:t>
      </w:r>
    </w:p>
    <w:p>
      <w:pPr>
        <w:pStyle w:val="Normal"/>
        <w:bidi w:val="0"/>
        <w:jc w:val="left"/>
        <w:rPr/>
      </w:pPr>
      <w:r>
        <w:rPr/>
      </w:r>
    </w:p>
    <w:p>
      <w:pPr>
        <w:pStyle w:val="Normal"/>
        <w:keepNext w:val="true"/>
        <w:bidi w:val="0"/>
        <w:spacing w:lineRule="auto" w:line="240"/>
        <w:jc w:val="center"/>
        <w:rPr/>
      </w:pPr>
      <w:r>
        <w:rPr>
          <w:sz w:val="28"/>
        </w:rPr>
        <w:t>Bilješka 8.</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663</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Donacije od pravnih i fizičkih osoba izvan općeg proračuna te povrat donacija i kapitalnih pomoći po protestiranim jamstvima (šifre 6631 do 6634)</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663</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52.582,62</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35.303,61</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67,1</w:t>
            </w:r>
          </w:p>
        </w:tc>
      </w:tr>
    </w:tbl>
    <w:p>
      <w:pPr>
        <w:pStyle w:val="Normal"/>
        <w:bidi w:val="0"/>
        <w:spacing w:before="0" w:after="0"/>
        <w:jc w:val="left"/>
        <w:rPr/>
      </w:pPr>
      <w:r>
        <w:rPr/>
      </w:r>
    </w:p>
    <w:p>
      <w:pPr>
        <w:pStyle w:val="Normal"/>
        <w:bidi w:val="0"/>
        <w:jc w:val="left"/>
        <w:rPr/>
      </w:pPr>
      <w:r>
        <w:rPr/>
        <w:t>U promatranom razdoblju imamo rast prihoda od tekućih donacija zbog organiziranja susreta ravnatelja, zamjenika i pomoćnika zdravstvenih ustanova RH povodom Dana pobjede i domovinske zahvalnosti i obnove podova u prostorijama jedinice intenzivnog liječenja. Ostvaren je pad kapitalnih donacija u 2025. realizirana je donacija medicinske opreme i nabava kuhinje za potrebe ravnateljstva. U 2024. su se donacije odnosile na 11 bolničkih kreveta s madracima, noćnim ormarićima i stalcima za infuzije.</w:t>
      </w:r>
    </w:p>
    <w:p>
      <w:pPr>
        <w:pStyle w:val="Normal"/>
        <w:bidi w:val="0"/>
        <w:jc w:val="left"/>
        <w:rPr/>
      </w:pPr>
      <w:r>
        <w:rPr/>
      </w:r>
    </w:p>
    <w:p>
      <w:pPr>
        <w:pStyle w:val="Normal"/>
        <w:keepNext w:val="true"/>
        <w:bidi w:val="0"/>
        <w:spacing w:lineRule="auto" w:line="240"/>
        <w:jc w:val="center"/>
        <w:rPr/>
      </w:pPr>
      <w:r>
        <w:rPr>
          <w:sz w:val="28"/>
        </w:rPr>
        <w:t>Bilješka 9.</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671</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Prihodi iz nadležnog proračuna za financiranje redovne djelatnosti proračunskih korisnika (šifre 6711 do 6714)</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671</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403.043,51</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641.593,53</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159,2</w:t>
            </w:r>
          </w:p>
        </w:tc>
      </w:tr>
    </w:tbl>
    <w:p>
      <w:pPr>
        <w:pStyle w:val="Normal"/>
        <w:bidi w:val="0"/>
        <w:spacing w:before="0" w:after="0"/>
        <w:jc w:val="left"/>
        <w:rPr/>
      </w:pPr>
      <w:r>
        <w:rPr/>
      </w:r>
    </w:p>
    <w:p>
      <w:pPr>
        <w:pStyle w:val="Normal"/>
        <w:bidi w:val="0"/>
        <w:jc w:val="left"/>
        <w:rPr/>
      </w:pPr>
      <w:r>
        <w:rPr/>
        <w:t>U 2025. godini u promatranom izvještajnom razdoblju iz nadležnog proračuna uplaćeno je ukupno 146.861,00 EUR – doznake državnog proračuna iz sredstava 11- Opći prihodi i primici za financiranje rashoda poslovanja (premije osiguranja imovine i zaposlenih od odgovornosti) i 494.732,53 EUR – doznake državnog proračuna iz sredstava 11- Opći prihodi i primici za financiranje rashoda za nabavu nefinancijske imovine.</w:t>
      </w:r>
    </w:p>
    <w:p>
      <w:pPr>
        <w:pStyle w:val="Normal"/>
        <w:bidi w:val="0"/>
        <w:jc w:val="left"/>
        <w:rPr/>
      </w:pPr>
      <w:r>
        <w:rPr/>
      </w:r>
    </w:p>
    <w:p>
      <w:pPr>
        <w:pStyle w:val="Normal"/>
        <w:keepNext w:val="true"/>
        <w:bidi w:val="0"/>
        <w:spacing w:lineRule="auto" w:line="240"/>
        <w:jc w:val="center"/>
        <w:rPr/>
      </w:pPr>
      <w:r>
        <w:rPr>
          <w:sz w:val="28"/>
        </w:rPr>
        <w:t>Bilješka 10.</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673</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Prihodi od HZZO-a na temelju ugovornih obveza</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673</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9.651.209,82</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9.961.871,11</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103,2</w:t>
            </w:r>
          </w:p>
        </w:tc>
      </w:tr>
    </w:tbl>
    <w:p>
      <w:pPr>
        <w:pStyle w:val="Normal"/>
        <w:bidi w:val="0"/>
        <w:spacing w:before="0" w:after="0"/>
        <w:jc w:val="left"/>
        <w:rPr/>
      </w:pPr>
      <w:r>
        <w:rPr/>
      </w:r>
    </w:p>
    <w:p>
      <w:pPr>
        <w:pStyle w:val="Normal"/>
        <w:bidi w:val="0"/>
        <w:jc w:val="left"/>
        <w:rPr/>
      </w:pPr>
      <w:r>
        <w:rPr/>
        <w:t>U razdoblju od 1. siječnja do 31. prosinca 2025. godine prihod od HZZO-a na temelju ugovornih obveza ostvaren je u iznosu od 9.961.871,11 EUR, što je za 3,2 % povećanje u odnosu na isto razdoblje prethodne godine. Uplate po limitu iznose 8.495.948,72 EUR, za preventivne preglede hrvatskih branitelja i članove njihovih obitelji uplaćeno je 398.168,40 EUR. Ostali prihodi ostvareni od HZZO-a odnose se na zdravstvenu zaštitu ino osiguranika, primarnu zdravstvenu zaštitu - laboratorijsku dijagnostiku, zdravstvenu zaštitu na radu, DTP postupke, nacionalne programe mamografija i rano otkrivanje slabovidnosti.</w:t>
      </w:r>
    </w:p>
    <w:p>
      <w:pPr>
        <w:pStyle w:val="Normal"/>
        <w:bidi w:val="0"/>
        <w:jc w:val="left"/>
        <w:rPr/>
      </w:pPr>
      <w:r>
        <w:rPr/>
      </w:r>
    </w:p>
    <w:p>
      <w:pPr>
        <w:pStyle w:val="Normal"/>
        <w:keepNext w:val="true"/>
        <w:bidi w:val="0"/>
        <w:spacing w:lineRule="auto" w:line="240"/>
        <w:jc w:val="center"/>
        <w:rPr/>
      </w:pPr>
      <w:r>
        <w:rPr>
          <w:sz w:val="28"/>
        </w:rPr>
        <w:t>Bilješka 11.</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683</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Ostali prihodi</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683</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63.623,64</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5.215,33</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8,2</w:t>
            </w:r>
          </w:p>
        </w:tc>
      </w:tr>
    </w:tbl>
    <w:p>
      <w:pPr>
        <w:pStyle w:val="Normal"/>
        <w:bidi w:val="0"/>
        <w:spacing w:before="0" w:after="0"/>
        <w:jc w:val="left"/>
        <w:rPr/>
      </w:pPr>
      <w:r>
        <w:rPr/>
      </w:r>
    </w:p>
    <w:p>
      <w:pPr>
        <w:pStyle w:val="Normal"/>
        <w:bidi w:val="0"/>
        <w:jc w:val="left"/>
        <w:rPr/>
      </w:pPr>
      <w:r>
        <w:rPr/>
        <w:t>Ostali prihodi su manji za 91,8 % u odnosu na isto razdoblje prethodne godine. Najveće stavke iz oba promatrana razdoblja odnose se na naknadu štete po ugovoru s naslova specijalizacije.</w:t>
      </w:r>
    </w:p>
    <w:p>
      <w:pPr>
        <w:pStyle w:val="Normal"/>
        <w:bidi w:val="0"/>
        <w:jc w:val="left"/>
        <w:rPr/>
      </w:pPr>
      <w:r>
        <w:rPr/>
      </w:r>
    </w:p>
    <w:p>
      <w:pPr>
        <w:pStyle w:val="Normal"/>
        <w:keepNext w:val="true"/>
        <w:bidi w:val="0"/>
        <w:spacing w:lineRule="auto" w:line="240"/>
        <w:jc w:val="center"/>
        <w:rPr/>
      </w:pPr>
      <w:r>
        <w:rPr>
          <w:sz w:val="28"/>
        </w:rPr>
        <w:t>Bilješka 12.</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RASHODI POSLOVANJA (šifre 31+32+34+35+36+37+38)</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13.675.920,32</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14.802.375,92</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108,2</w:t>
            </w:r>
          </w:p>
        </w:tc>
      </w:tr>
    </w:tbl>
    <w:p>
      <w:pPr>
        <w:pStyle w:val="Normal"/>
        <w:bidi w:val="0"/>
        <w:spacing w:before="0" w:after="0"/>
        <w:jc w:val="left"/>
        <w:rPr/>
      </w:pPr>
      <w:r>
        <w:rPr/>
      </w:r>
    </w:p>
    <w:p>
      <w:pPr>
        <w:pStyle w:val="Normal"/>
        <w:bidi w:val="0"/>
        <w:jc w:val="left"/>
        <w:rPr/>
      </w:pPr>
      <w:r>
        <w:rPr/>
        <w:t>Stavka rashodi poslovanja (šifra 3) u odnosu na ostvareno u izvještajnom razdoblju prethodne godine veći su za 8,2 % te iznose 14.802.375,92 EUR.</w:t>
      </w:r>
    </w:p>
    <w:p>
      <w:pPr>
        <w:pStyle w:val="Normal"/>
        <w:bidi w:val="0"/>
        <w:jc w:val="left"/>
        <w:rPr/>
      </w:pPr>
      <w:r>
        <w:rPr/>
      </w:r>
    </w:p>
    <w:p>
      <w:pPr>
        <w:pStyle w:val="Normal"/>
        <w:keepNext w:val="true"/>
        <w:bidi w:val="0"/>
        <w:spacing w:lineRule="auto" w:line="240"/>
        <w:jc w:val="center"/>
        <w:rPr/>
      </w:pPr>
      <w:r>
        <w:rPr>
          <w:sz w:val="28"/>
        </w:rPr>
        <w:t>Bilješka 13.</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31</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Rashodi za zaposlene (šifre 311+312+313)</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31</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10.300.177,33</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11.216.757,44</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108,9</w:t>
            </w:r>
          </w:p>
        </w:tc>
      </w:tr>
    </w:tbl>
    <w:p>
      <w:pPr>
        <w:pStyle w:val="Normal"/>
        <w:bidi w:val="0"/>
        <w:spacing w:before="0" w:after="0"/>
        <w:jc w:val="left"/>
        <w:rPr/>
      </w:pPr>
      <w:r>
        <w:rPr/>
      </w:r>
    </w:p>
    <w:p>
      <w:pPr>
        <w:pStyle w:val="Normal"/>
        <w:bidi w:val="0"/>
        <w:jc w:val="left"/>
        <w:rPr/>
      </w:pPr>
      <w:r>
        <w:rPr/>
        <w:t>Od ukupnih rashoda poslovanja najveći dio čine rashodi za zaposlene (šifra 31) u iznosu od 11.216.757,44 EUR, a uvećani su za 8,9 % u odnosu na ostvareno u izvještajnom razdoblju prethodne godine. Porast rashoda za zaposlene posljedica je više faktora: - Temeljem Zakona o plaćama u državnoj službi i javnim službama objavljenog u Narodnim novinama br. 155/23 od 15. prosinca 2023. godine koji je stupio na snagu 1. siječnja 2024. godine i temeljem Uredbe o nazivima radnih mjesta, uvjetima za raspored i koeficijentima za obračun plaće u javnim službama objavljene u Narodnim novinama br. 22/24 od 26. veljače 2024. godine koja je stupila na snagu 1. ožujka 2024. godine kojom su se povećale plaće u državnim i javnim službama. Odluka Vlade RH o povećanju osnovice plaće za zaposlene u javnim službama od veljače 2025. godine za 3,0% i 3,0% od rujna 2025. godine koja za sobom povlači obračun ostalih elemenata plaće (prekovremeni, dodaci, smjenski rad, rad vikendom...).</w:t>
      </w:r>
    </w:p>
    <w:p>
      <w:pPr>
        <w:pStyle w:val="Normal"/>
        <w:bidi w:val="0"/>
        <w:jc w:val="left"/>
        <w:rPr/>
      </w:pPr>
      <w:r>
        <w:rPr/>
      </w:r>
    </w:p>
    <w:p>
      <w:pPr>
        <w:pStyle w:val="Normal"/>
        <w:keepNext w:val="true"/>
        <w:bidi w:val="0"/>
        <w:spacing w:lineRule="auto" w:line="240"/>
        <w:jc w:val="center"/>
        <w:rPr/>
      </w:pPr>
      <w:r>
        <w:rPr>
          <w:sz w:val="28"/>
        </w:rPr>
        <w:t>Bilješka 14.</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32</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Materijalni rashodi (šifre 321+322+323+324+325+329)</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32</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3.350.787,39</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3.566.590,82</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106,4</w:t>
            </w:r>
          </w:p>
        </w:tc>
      </w:tr>
    </w:tbl>
    <w:p>
      <w:pPr>
        <w:pStyle w:val="Normal"/>
        <w:bidi w:val="0"/>
        <w:spacing w:before="0" w:after="0"/>
        <w:jc w:val="left"/>
        <w:rPr/>
      </w:pPr>
      <w:r>
        <w:rPr/>
      </w:r>
    </w:p>
    <w:p>
      <w:pPr>
        <w:pStyle w:val="Normal"/>
        <w:bidi w:val="0"/>
        <w:jc w:val="left"/>
        <w:rPr/>
      </w:pPr>
      <w:r>
        <w:rPr/>
        <w:t>Druga najveća stavka rashoda poslovanja odnosi se na materijalne rashode (šifra 32) koji u tekućoj godini iznose 3.566.590,82 EUR, što je za 6,4 % više u odnosu na isto razdoblje prethodne godine.</w:t>
      </w:r>
    </w:p>
    <w:p>
      <w:pPr>
        <w:pStyle w:val="Normal"/>
        <w:bidi w:val="0"/>
        <w:jc w:val="left"/>
        <w:rPr/>
      </w:pPr>
      <w:r>
        <w:rPr/>
      </w:r>
    </w:p>
    <w:p>
      <w:pPr>
        <w:pStyle w:val="Normal"/>
        <w:keepNext w:val="true"/>
        <w:bidi w:val="0"/>
        <w:spacing w:lineRule="auto" w:line="240"/>
        <w:jc w:val="center"/>
        <w:rPr/>
      </w:pPr>
      <w:r>
        <w:rPr>
          <w:sz w:val="28"/>
        </w:rPr>
        <w:t>Bilješka 15.</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321</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Naknade troškova zaposlenima (šifre 3211 do 3214)</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321</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227.578,74</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208.604,90</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91,7</w:t>
            </w:r>
          </w:p>
        </w:tc>
      </w:tr>
    </w:tbl>
    <w:p>
      <w:pPr>
        <w:pStyle w:val="Normal"/>
        <w:bidi w:val="0"/>
        <w:spacing w:before="0" w:after="0"/>
        <w:jc w:val="left"/>
        <w:rPr/>
      </w:pPr>
      <w:r>
        <w:rPr/>
      </w:r>
    </w:p>
    <w:p>
      <w:pPr>
        <w:pStyle w:val="Normal"/>
        <w:bidi w:val="0"/>
        <w:jc w:val="left"/>
        <w:rPr/>
      </w:pPr>
      <w:r>
        <w:rPr/>
        <w:t>U podskupini rashoda - 321, stavke koje bilježe pad materijalnih rashoda odnose se na službena putovanja i naknade za prijevoz (razlog je smanjenje cijene naknade po km).</w:t>
      </w:r>
    </w:p>
    <w:p>
      <w:pPr>
        <w:pStyle w:val="Normal"/>
        <w:bidi w:val="0"/>
        <w:jc w:val="left"/>
        <w:rPr/>
      </w:pPr>
      <w:r>
        <w:rPr/>
      </w:r>
    </w:p>
    <w:p>
      <w:pPr>
        <w:pStyle w:val="Normal"/>
        <w:keepNext w:val="true"/>
        <w:bidi w:val="0"/>
        <w:spacing w:lineRule="auto" w:line="240"/>
        <w:jc w:val="center"/>
        <w:rPr/>
      </w:pPr>
      <w:r>
        <w:rPr>
          <w:sz w:val="28"/>
        </w:rPr>
        <w:t>Bilješka 16.</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322</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Rashodi za materijal i energiju (šifre 3221 do 3227)</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322</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2.105.637,99</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536.775,87</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25,5</w:t>
            </w:r>
          </w:p>
        </w:tc>
      </w:tr>
    </w:tbl>
    <w:p>
      <w:pPr>
        <w:pStyle w:val="Normal"/>
        <w:bidi w:val="0"/>
        <w:spacing w:before="0" w:after="0"/>
        <w:jc w:val="left"/>
        <w:rPr/>
      </w:pPr>
      <w:r>
        <w:rPr/>
      </w:r>
    </w:p>
    <w:p>
      <w:pPr>
        <w:pStyle w:val="Normal"/>
        <w:bidi w:val="0"/>
        <w:jc w:val="left"/>
        <w:rPr/>
      </w:pPr>
      <w:r>
        <w:rPr/>
        <w:t>Smanjenje rashoda vidljivo je i na šifri 322 - Rashodi za materijal i energiju i najveći razlog smanjenja od 74,5 % odnosi se na primjenu novog Pravilnika o proračunskom računovodstvu i Računskom planu (Narodne novine, br. 158/23. i 154/24.) od 1. siječnja 2025. godine rashodi za lijekove i potrošni medicinski materijal kod zdravstvenih ustanova više se ne knjiže na šifri 3222 Materijal i sirovine već je uvedena nova podskupina 325 Rashodi lijekova i potrošnog medicinskog materijala kod zdravstvenih ustanova radi veće transparentnosti i boljeg praćenja potrošnje lijekova i potrošnog medicinskog materijala kod zdravstvenih ustanova. Na šifri 3224 vidljivo je povećanje za 54,9 % u odnosu na prethodno razdoblje i odnosi se na povećanu potrošnju materijala i povećanu ugradnju rezervnih dijelova na postrojenjima i opremi.</w:t>
      </w:r>
    </w:p>
    <w:p>
      <w:pPr>
        <w:pStyle w:val="Normal"/>
        <w:bidi w:val="0"/>
        <w:jc w:val="left"/>
        <w:rPr/>
      </w:pPr>
      <w:r>
        <w:rPr/>
      </w:r>
    </w:p>
    <w:p>
      <w:pPr>
        <w:pStyle w:val="Normal"/>
        <w:keepNext w:val="true"/>
        <w:bidi w:val="0"/>
        <w:spacing w:lineRule="auto" w:line="240"/>
        <w:jc w:val="center"/>
        <w:rPr/>
      </w:pPr>
      <w:r>
        <w:rPr>
          <w:sz w:val="28"/>
        </w:rPr>
        <w:t>Bilješka 17.</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323</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Rashodi za usluge (šifre 3231 do 3239)</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323</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868.894,51</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901.982,69</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103,8</w:t>
            </w:r>
          </w:p>
        </w:tc>
      </w:tr>
    </w:tbl>
    <w:p>
      <w:pPr>
        <w:pStyle w:val="Normal"/>
        <w:bidi w:val="0"/>
        <w:spacing w:before="0" w:after="0"/>
        <w:jc w:val="left"/>
        <w:rPr/>
      </w:pPr>
      <w:r>
        <w:rPr/>
      </w:r>
    </w:p>
    <w:p>
      <w:pPr>
        <w:pStyle w:val="Normal"/>
        <w:bidi w:val="0"/>
        <w:jc w:val="left"/>
        <w:rPr/>
      </w:pPr>
      <w:r>
        <w:rPr/>
        <w:t>Rashodi za usluge šifra 323 uvećane su za 3,8 %. Najveća povećanja su vidljiva na šifri 3235 Zakupnina i najamnina povećanje od 102,2 % odnosi se na nabavu UV uređaja za dezinfekciju koji će se otplaćivati kroz najam na 24 mjeseca. Šifra 3237 Intelektualne i osobne usluge povećanje od 31,6 % odnosi se na povećani rad liječnika iz drugih zdravstvenih ustanova i povećanje zbog rasta prosječne bruto satnice u zadnjih šest mjeseci prije sklapanja Ugovora o međusobnim pravima i obvezama.</w:t>
      </w:r>
    </w:p>
    <w:p>
      <w:pPr>
        <w:pStyle w:val="Normal"/>
        <w:bidi w:val="0"/>
        <w:jc w:val="left"/>
        <w:rPr/>
      </w:pPr>
      <w:r>
        <w:rPr/>
      </w:r>
    </w:p>
    <w:p>
      <w:pPr>
        <w:pStyle w:val="Normal"/>
        <w:keepNext w:val="true"/>
        <w:bidi w:val="0"/>
        <w:spacing w:lineRule="auto" w:line="240"/>
        <w:jc w:val="center"/>
        <w:rPr/>
      </w:pPr>
      <w:r>
        <w:rPr>
          <w:sz w:val="28"/>
        </w:rPr>
        <w:t>Bilješka 18.</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325</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Rashodi lijekova i potrošnog medicinskog materijala kod zdravstvenih ustanova (šifre 3251 do 3254)</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325</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0,00</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1.689.150,03</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w:t>
            </w:r>
          </w:p>
        </w:tc>
      </w:tr>
    </w:tbl>
    <w:p>
      <w:pPr>
        <w:pStyle w:val="Normal"/>
        <w:bidi w:val="0"/>
        <w:spacing w:before="0" w:after="0"/>
        <w:jc w:val="left"/>
        <w:rPr/>
      </w:pPr>
      <w:r>
        <w:rPr/>
      </w:r>
    </w:p>
    <w:p>
      <w:pPr>
        <w:pStyle w:val="Normal"/>
        <w:bidi w:val="0"/>
        <w:jc w:val="left"/>
        <w:rPr/>
      </w:pPr>
      <w:r>
        <w:rPr/>
        <w:t>Šifra 325 Rashodi lijekova i potrošnog medicinskog materijala kod zdravstvenih ustanova odnosi se na primjenu novog Pravilnika o proračunskom računovodstvu i Računskom planu (Narodne novine, br. 158/23. i 154/24.) od 1. siječnja 2025. godine podaci se isključivo prikazuju u stupcu Ostvareno u izvještajnom razdoblju tekuće godine.</w:t>
      </w:r>
    </w:p>
    <w:p>
      <w:pPr>
        <w:pStyle w:val="Normal"/>
        <w:bidi w:val="0"/>
        <w:jc w:val="left"/>
        <w:rPr/>
      </w:pPr>
      <w:r>
        <w:rPr/>
      </w:r>
    </w:p>
    <w:p>
      <w:pPr>
        <w:pStyle w:val="Normal"/>
        <w:keepNext w:val="true"/>
        <w:bidi w:val="0"/>
        <w:spacing w:lineRule="auto" w:line="240"/>
        <w:jc w:val="center"/>
        <w:rPr/>
      </w:pPr>
      <w:r>
        <w:rPr>
          <w:sz w:val="28"/>
        </w:rPr>
        <w:t>Bilješka 19.</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329</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Ostali nespomenuti rashodi poslovanja (šifre 3291 do 3299)</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329</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148.676,15</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230.077,33</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154,8</w:t>
            </w:r>
          </w:p>
        </w:tc>
      </w:tr>
    </w:tbl>
    <w:p>
      <w:pPr>
        <w:pStyle w:val="Normal"/>
        <w:bidi w:val="0"/>
        <w:spacing w:before="0" w:after="0"/>
        <w:jc w:val="left"/>
        <w:rPr/>
      </w:pPr>
      <w:r>
        <w:rPr/>
      </w:r>
    </w:p>
    <w:p>
      <w:pPr>
        <w:pStyle w:val="Normal"/>
        <w:bidi w:val="0"/>
        <w:jc w:val="left"/>
        <w:rPr/>
      </w:pPr>
      <w:r>
        <w:rPr/>
        <w:t>Ostali nespomenuti rashodi poslovanja šifra 329 ( šifre 3291 do 3299) povećani su za 54,8 % zbog premija osiguranja (ugovorene su premije osiguranja za odgovornost i imovinu temeljem provedene objedinjenje nabave – sredstva za podmirenje su osigurana iz izvora financiranja 11 – Opći prihodi i primici - Državni proračun) i reprezentacije zbog organiziranja susreta ravnatelja, zamjenika i pomoćnika zdravstvenih ustanova RH povodom Dana pobjede i domovinske zahvalnosti koji je u cijelosti financiran iz sredstava donacija.</w:t>
      </w:r>
    </w:p>
    <w:p>
      <w:pPr>
        <w:pStyle w:val="Normal"/>
        <w:bidi w:val="0"/>
        <w:jc w:val="left"/>
        <w:rPr/>
      </w:pPr>
      <w:r>
        <w:rPr/>
      </w:r>
    </w:p>
    <w:p>
      <w:pPr>
        <w:pStyle w:val="Normal"/>
        <w:keepNext w:val="true"/>
        <w:bidi w:val="0"/>
        <w:spacing w:lineRule="auto" w:line="240"/>
        <w:jc w:val="center"/>
        <w:rPr/>
      </w:pPr>
      <w:r>
        <w:rPr>
          <w:sz w:val="28"/>
        </w:rPr>
        <w:t>Bilješka 20.</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34</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Financijski rashodi (šifre 341+342+343)</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34</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24.955,60</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19.027,66</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76,2</w:t>
            </w:r>
          </w:p>
        </w:tc>
      </w:tr>
    </w:tbl>
    <w:p>
      <w:pPr>
        <w:pStyle w:val="Normal"/>
        <w:bidi w:val="0"/>
        <w:spacing w:before="0" w:after="0"/>
        <w:jc w:val="left"/>
        <w:rPr/>
      </w:pPr>
      <w:r>
        <w:rPr/>
      </w:r>
    </w:p>
    <w:p>
      <w:pPr>
        <w:pStyle w:val="Normal"/>
        <w:bidi w:val="0"/>
        <w:jc w:val="left"/>
        <w:rPr/>
      </w:pPr>
      <w:r>
        <w:rPr/>
        <w:t>Financijski rashodi (šifra 34 ) smanjeni su za 23,8 % u odnosu na ostvareno u izvještajnom razdoblju prethodne godine. Zabilježeno je smanjenje zateznih kamata zbog smanjenih isplata po pravomoćnim sudskim presudama za prekovremeni rad.</w:t>
      </w:r>
    </w:p>
    <w:p>
      <w:pPr>
        <w:pStyle w:val="Normal"/>
        <w:bidi w:val="0"/>
        <w:jc w:val="left"/>
        <w:rPr/>
      </w:pPr>
      <w:r>
        <w:rPr/>
      </w:r>
    </w:p>
    <w:p>
      <w:pPr>
        <w:pStyle w:val="Normal"/>
        <w:keepNext w:val="true"/>
        <w:bidi w:val="0"/>
        <w:spacing w:lineRule="auto" w:line="240"/>
        <w:jc w:val="center"/>
        <w:rPr/>
      </w:pPr>
      <w:r>
        <w:rPr>
          <w:sz w:val="28"/>
        </w:rPr>
        <w:t>Bilješka 21.</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4</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Rashodi za nabavu nefinancijske imovine (šifre 41+42+43+44+45)</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4</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496.350,71</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889.150,10</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179,1</w:t>
            </w:r>
          </w:p>
        </w:tc>
      </w:tr>
    </w:tbl>
    <w:p>
      <w:pPr>
        <w:pStyle w:val="Normal"/>
        <w:bidi w:val="0"/>
        <w:spacing w:before="0" w:after="0"/>
        <w:jc w:val="left"/>
        <w:rPr/>
      </w:pPr>
      <w:r>
        <w:rPr/>
      </w:r>
    </w:p>
    <w:p>
      <w:pPr>
        <w:pStyle w:val="Normal"/>
        <w:bidi w:val="0"/>
        <w:jc w:val="left"/>
        <w:rPr/>
      </w:pPr>
      <w:r>
        <w:rPr/>
        <w:t>Rashodi za nabavu nefinancijske imovine (šifra 4) iznosi 889.150,10 EUR, što je za 79,1 % više u odnosu na isto razdoblje prethodne godine.</w:t>
      </w:r>
    </w:p>
    <w:p>
      <w:pPr>
        <w:pStyle w:val="Normal"/>
        <w:bidi w:val="0"/>
        <w:jc w:val="left"/>
        <w:rPr/>
      </w:pPr>
      <w:r>
        <w:rPr/>
      </w:r>
    </w:p>
    <w:p>
      <w:pPr>
        <w:pStyle w:val="Normal"/>
        <w:keepNext w:val="true"/>
        <w:bidi w:val="0"/>
        <w:spacing w:lineRule="auto" w:line="240"/>
        <w:jc w:val="center"/>
        <w:rPr/>
      </w:pPr>
      <w:r>
        <w:rPr>
          <w:sz w:val="28"/>
        </w:rPr>
        <w:t>Bilješka 22.</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42</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Rashodi za nabavu proizvedene dugotrajne imovine (šifre 421+422+423+424+425+426)</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42</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468.275,19</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776.672,03</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165,9</w:t>
            </w:r>
          </w:p>
        </w:tc>
      </w:tr>
    </w:tbl>
    <w:p>
      <w:pPr>
        <w:pStyle w:val="Normal"/>
        <w:bidi w:val="0"/>
        <w:spacing w:before="0" w:after="0"/>
        <w:jc w:val="left"/>
        <w:rPr/>
      </w:pPr>
      <w:r>
        <w:rPr/>
      </w:r>
    </w:p>
    <w:p>
      <w:pPr>
        <w:pStyle w:val="Normal"/>
        <w:bidi w:val="0"/>
        <w:jc w:val="left"/>
        <w:rPr/>
      </w:pPr>
      <w:r>
        <w:rPr/>
        <w:t>Najveće povećanje zabilježeno je na šifri 42 Rashodi za nabavu proizvedene dugotrajne imovine što je za 65,9 % više u odnosu na isto razdoblje prethodne godine i većinom se odnosi na rashode za kupnju računala i računalne opreme, uredskog namještaja, medicinske opreme, uređaja i opreme za ostale namjene i ulaganja u računalne programe.</w:t>
      </w:r>
    </w:p>
    <w:p>
      <w:pPr>
        <w:pStyle w:val="Normal"/>
        <w:bidi w:val="0"/>
        <w:jc w:val="left"/>
        <w:rPr/>
      </w:pPr>
      <w:r>
        <w:rPr/>
      </w:r>
    </w:p>
    <w:p>
      <w:pPr>
        <w:pStyle w:val="Normal"/>
        <w:keepNext w:val="true"/>
        <w:bidi w:val="0"/>
        <w:spacing w:lineRule="auto" w:line="240"/>
        <w:jc w:val="center"/>
        <w:rPr/>
      </w:pPr>
      <w:r>
        <w:rPr>
          <w:sz w:val="28"/>
        </w:rPr>
        <w:t>Bilješka 23.</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4221</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Uredska oprema i namještaj</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4221</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23.278,23</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82.534,13</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354,6</w:t>
            </w:r>
          </w:p>
        </w:tc>
      </w:tr>
    </w:tbl>
    <w:p>
      <w:pPr>
        <w:pStyle w:val="Normal"/>
        <w:bidi w:val="0"/>
        <w:spacing w:before="0" w:after="0"/>
        <w:jc w:val="left"/>
        <w:rPr/>
      </w:pPr>
      <w:r>
        <w:rPr/>
      </w:r>
    </w:p>
    <w:p>
      <w:pPr>
        <w:pStyle w:val="Normal"/>
        <w:bidi w:val="0"/>
        <w:jc w:val="left"/>
        <w:rPr/>
      </w:pPr>
      <w:r>
        <w:rPr/>
        <w:t>U promatranom razdoblju 2025. najveće ulaganje se odnosi na nadogradnju aktivne i pasivne mrežne opreme i infrastrukture u iznosu od 62.339,85 EUR.</w:t>
      </w:r>
    </w:p>
    <w:p>
      <w:pPr>
        <w:pStyle w:val="Normal"/>
        <w:bidi w:val="0"/>
        <w:jc w:val="left"/>
        <w:rPr/>
      </w:pPr>
      <w:r>
        <w:rPr/>
      </w:r>
    </w:p>
    <w:p>
      <w:pPr>
        <w:pStyle w:val="Normal"/>
        <w:keepNext w:val="true"/>
        <w:bidi w:val="0"/>
        <w:spacing w:lineRule="auto" w:line="240"/>
        <w:jc w:val="center"/>
        <w:rPr/>
      </w:pPr>
      <w:r>
        <w:rPr>
          <w:sz w:val="28"/>
        </w:rPr>
        <w:t>Bilješka 24.</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4224</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Medicinska i laboratorijska oprema</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4224</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350.087,67</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567.862,90</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162,2</w:t>
            </w:r>
          </w:p>
        </w:tc>
      </w:tr>
    </w:tbl>
    <w:p>
      <w:pPr>
        <w:pStyle w:val="Normal"/>
        <w:bidi w:val="0"/>
        <w:spacing w:before="0" w:after="0"/>
        <w:jc w:val="left"/>
        <w:rPr/>
      </w:pPr>
      <w:r>
        <w:rPr/>
      </w:r>
    </w:p>
    <w:p>
      <w:pPr>
        <w:pStyle w:val="Normal"/>
        <w:bidi w:val="0"/>
        <w:jc w:val="left"/>
        <w:rPr/>
      </w:pPr>
      <w:r>
        <w:rPr/>
        <w:t>Najveće ulaganje bilježi medicinska i laboratorijska oprema (4224) u iznosu od 567.862,90 EUR, a najveće pojedinačno ulaganje je pomoć Veleposlanstva Sjedinjenih država u vidu donacije pedijatrijskog ultrazvuka color doppler system s 5 sondi u ukupnoj vrijednosti od 150.100,00 EUR.</w:t>
      </w:r>
    </w:p>
    <w:p>
      <w:pPr>
        <w:pStyle w:val="Normal"/>
        <w:bidi w:val="0"/>
        <w:jc w:val="left"/>
        <w:rPr/>
      </w:pPr>
      <w:r>
        <w:rPr/>
      </w:r>
    </w:p>
    <w:p>
      <w:pPr>
        <w:pStyle w:val="Normal"/>
        <w:keepNext w:val="true"/>
        <w:bidi w:val="0"/>
        <w:spacing w:lineRule="auto" w:line="240"/>
        <w:jc w:val="center"/>
        <w:rPr/>
      </w:pPr>
      <w:r>
        <w:rPr>
          <w:sz w:val="28"/>
        </w:rPr>
        <w:t>Bilješka 25.</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426</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Nematerijalna proizvedena imovina (šifre 4261 do 4264)</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426</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0,00</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105.305,00</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w:t>
            </w:r>
          </w:p>
        </w:tc>
      </w:tr>
    </w:tbl>
    <w:p>
      <w:pPr>
        <w:pStyle w:val="Normal"/>
        <w:bidi w:val="0"/>
        <w:spacing w:before="0" w:after="0"/>
        <w:jc w:val="left"/>
        <w:rPr/>
      </w:pPr>
      <w:r>
        <w:rPr/>
      </w:r>
    </w:p>
    <w:p>
      <w:pPr>
        <w:pStyle w:val="Normal"/>
        <w:bidi w:val="0"/>
        <w:jc w:val="left"/>
        <w:rPr/>
      </w:pPr>
      <w:r>
        <w:rPr/>
        <w:t>Najveća pojedinačna ulaganje odnose se na kupnju programa PIS-a u iznosu od 57.080,00 EUR i PACS sustava u iznosu od 32.475,00 EUR.</w:t>
      </w:r>
    </w:p>
    <w:p>
      <w:pPr>
        <w:pStyle w:val="Normal"/>
        <w:bidi w:val="0"/>
        <w:jc w:val="left"/>
        <w:rPr/>
      </w:pPr>
      <w:r>
        <w:rPr/>
      </w:r>
    </w:p>
    <w:p>
      <w:pPr>
        <w:pStyle w:val="Normal"/>
        <w:keepNext w:val="true"/>
        <w:bidi w:val="0"/>
        <w:spacing w:lineRule="auto" w:line="240"/>
        <w:jc w:val="center"/>
        <w:rPr/>
      </w:pPr>
      <w:r>
        <w:rPr>
          <w:sz w:val="28"/>
        </w:rPr>
        <w:t>Bilješka 26.</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45</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Rashodi za dodatna ulaganja na nefinancijskoj imovini (šifre 451 do 454)</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45</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9.020,31</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108.750,00</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1205,6</w:t>
            </w:r>
          </w:p>
        </w:tc>
      </w:tr>
    </w:tbl>
    <w:p>
      <w:pPr>
        <w:pStyle w:val="Normal"/>
        <w:bidi w:val="0"/>
        <w:spacing w:before="0" w:after="0"/>
        <w:jc w:val="left"/>
        <w:rPr/>
      </w:pPr>
      <w:r>
        <w:rPr/>
      </w:r>
    </w:p>
    <w:p>
      <w:pPr>
        <w:pStyle w:val="Normal"/>
        <w:bidi w:val="0"/>
        <w:jc w:val="left"/>
        <w:rPr/>
      </w:pPr>
      <w:r>
        <w:rPr/>
        <w:t>U promatranom razdoblju 2025. ulaganje se odnosi na kupnju dva kotla za brzu proizvodnju pare za potrebe praonice rublja (Vaporeks).</w:t>
      </w:r>
    </w:p>
    <w:p>
      <w:pPr>
        <w:pStyle w:val="Normal"/>
        <w:bidi w:val="0"/>
        <w:jc w:val="left"/>
        <w:rPr/>
      </w:pPr>
      <w:r>
        <w:rPr/>
      </w:r>
    </w:p>
    <w:p>
      <w:pPr>
        <w:pStyle w:val="Normal"/>
        <w:keepNext w:val="true"/>
        <w:bidi w:val="0"/>
        <w:spacing w:lineRule="auto" w:line="240"/>
        <w:jc w:val="center"/>
        <w:rPr/>
      </w:pPr>
      <w:r>
        <w:rPr>
          <w:b/>
          <w:sz w:val="28"/>
        </w:rPr>
        <w:t>Bilanca</w:t>
      </w:r>
    </w:p>
    <w:p>
      <w:pPr>
        <w:pStyle w:val="Normal"/>
        <w:keepNext w:val="true"/>
        <w:bidi w:val="0"/>
        <w:spacing w:lineRule="auto" w:line="240"/>
        <w:jc w:val="center"/>
        <w:rPr/>
      </w:pPr>
      <w:r>
        <w:rPr>
          <w:sz w:val="28"/>
        </w:rPr>
        <w:t>Bilješka 27.</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Stanje 1. siječnja</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Stanje 31. prosinca</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IMOVINA (šifre B002+1)</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B001</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11.041.326,27</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11.230.678,43</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101,7</w:t>
            </w:r>
          </w:p>
        </w:tc>
      </w:tr>
    </w:tbl>
    <w:p>
      <w:pPr>
        <w:pStyle w:val="Normal"/>
        <w:bidi w:val="0"/>
        <w:spacing w:before="0" w:after="0"/>
        <w:jc w:val="left"/>
        <w:rPr/>
      </w:pPr>
      <w:r>
        <w:rPr/>
      </w:r>
    </w:p>
    <w:p>
      <w:pPr>
        <w:pStyle w:val="Normal"/>
        <w:bidi w:val="0"/>
        <w:jc w:val="left"/>
        <w:rPr/>
      </w:pPr>
      <w:r>
        <w:rPr/>
        <w:t>U Obrascu Bilanca iskazuju se podaci o vrijednosti imovine te obveza i vlastitih izvora na dan 31. prosinca 2025. godine. Ukupna vrijednost imovine (B001) iznosi 11.230.678,43 EUR, od čega nefinancijska imovina (B002) iznosi 10.430.461,69 EUR, dok vrijednost financijske imovine (1) iznosi 800.216,74 EUR. </w:t>
      </w:r>
    </w:p>
    <w:p>
      <w:pPr>
        <w:pStyle w:val="Normal"/>
        <w:bidi w:val="0"/>
        <w:jc w:val="left"/>
        <w:rPr/>
      </w:pPr>
      <w:r>
        <w:rPr/>
      </w:r>
    </w:p>
    <w:p>
      <w:pPr>
        <w:pStyle w:val="Normal"/>
        <w:keepNext w:val="true"/>
        <w:bidi w:val="0"/>
        <w:spacing w:lineRule="auto" w:line="240"/>
        <w:jc w:val="center"/>
        <w:rPr/>
      </w:pPr>
      <w:r>
        <w:rPr>
          <w:sz w:val="28"/>
        </w:rPr>
        <w:t>Bilješka 28.</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Stanje 1. siječnja</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Stanje 31. prosinca</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042</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Sitni inventar i autogume u upotrebi</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042</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759,63</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26.784,89</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3526,0</w:t>
            </w:r>
          </w:p>
        </w:tc>
      </w:tr>
    </w:tbl>
    <w:p>
      <w:pPr>
        <w:pStyle w:val="Normal"/>
        <w:bidi w:val="0"/>
        <w:spacing w:before="0" w:after="0"/>
        <w:jc w:val="left"/>
        <w:rPr/>
      </w:pPr>
      <w:r>
        <w:rPr/>
      </w:r>
    </w:p>
    <w:p>
      <w:pPr>
        <w:pStyle w:val="Normal"/>
        <w:bidi w:val="0"/>
        <w:jc w:val="left"/>
        <w:rPr/>
      </w:pPr>
      <w:r>
        <w:rPr/>
        <w:t>Najznačajnija promjena vidljiva je na 042 Sitni inventar i autogume u upotrebi i 049 ispravku vrijednosti sitnog inventara i autogume u upotrebi zbog vođenja ispravka vijednosti od 1. prosinca 2024. godine.</w:t>
      </w:r>
    </w:p>
    <w:p>
      <w:pPr>
        <w:pStyle w:val="Normal"/>
        <w:bidi w:val="0"/>
        <w:jc w:val="left"/>
        <w:rPr/>
      </w:pPr>
      <w:r>
        <w:rPr/>
      </w:r>
    </w:p>
    <w:p>
      <w:pPr>
        <w:pStyle w:val="Normal"/>
        <w:keepNext w:val="true"/>
        <w:bidi w:val="0"/>
        <w:spacing w:lineRule="auto" w:line="240"/>
        <w:jc w:val="center"/>
        <w:rPr/>
      </w:pPr>
      <w:r>
        <w:rPr>
          <w:sz w:val="28"/>
        </w:rPr>
        <w:t>Bilješka 29.</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Stanje 1. siječnja</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Stanje 31. prosinca</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16</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Potraživanja za prihode poslovanja (šifre 161 do 163 + 164 do 168-169)</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16</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278.869,66</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475.333,45</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170,5</w:t>
            </w:r>
          </w:p>
        </w:tc>
      </w:tr>
    </w:tbl>
    <w:p>
      <w:pPr>
        <w:pStyle w:val="Normal"/>
        <w:bidi w:val="0"/>
        <w:spacing w:before="0" w:after="0"/>
        <w:jc w:val="left"/>
        <w:rPr/>
      </w:pPr>
      <w:r>
        <w:rPr/>
      </w:r>
    </w:p>
    <w:p>
      <w:pPr>
        <w:pStyle w:val="Normal"/>
        <w:bidi w:val="0"/>
        <w:jc w:val="left"/>
        <w:rPr/>
      </w:pPr>
      <w:r>
        <w:rPr/>
        <w:t>Ukupna potraživanja za prihode poslovanja (16) na dan 31. prosinca 2025. godine iznose 475.333,45 EUR, a od toga se na dospjela potraživanja (dio 16 D) odnosi 296.988,13 EUR. Promjena u apsolutnom i postotnom iznosu su veća za 70,5 %. </w:t>
      </w:r>
    </w:p>
    <w:p>
      <w:pPr>
        <w:pStyle w:val="Normal"/>
        <w:bidi w:val="0"/>
        <w:jc w:val="left"/>
        <w:rPr/>
      </w:pPr>
      <w:r>
        <w:rPr/>
        <w:t>Temeljem izmjena i dopuna Pravilnika o proračunskom računovodstvu s početka 2018. godine, obavezno je provođenje ispravka vrijednosti potraživanja. Na dan 31. prosinca 2025. godine ispravak vrijednosti potraživanja iznosi 23.205,84 EUR (169).</w:t>
      </w:r>
    </w:p>
    <w:p>
      <w:pPr>
        <w:pStyle w:val="Normal"/>
        <w:bidi w:val="0"/>
        <w:jc w:val="left"/>
        <w:rPr/>
      </w:pPr>
      <w:r>
        <w:rPr/>
      </w:r>
    </w:p>
    <w:p>
      <w:pPr>
        <w:pStyle w:val="Normal"/>
        <w:keepNext w:val="true"/>
        <w:bidi w:val="0"/>
        <w:spacing w:lineRule="auto" w:line="240"/>
        <w:jc w:val="center"/>
        <w:rPr/>
      </w:pPr>
      <w:r>
        <w:rPr>
          <w:sz w:val="28"/>
        </w:rPr>
        <w:t>Bilješka 30.</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Stanje 1. siječnja</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Stanje 31. prosinca</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OBVEZE I VLASTITI IZVORI (šifre 2+9)</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B003</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11.041.326,27</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11.230.678,43</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101,7</w:t>
            </w:r>
          </w:p>
        </w:tc>
      </w:tr>
    </w:tbl>
    <w:p>
      <w:pPr>
        <w:pStyle w:val="Normal"/>
        <w:bidi w:val="0"/>
        <w:spacing w:before="0" w:after="0"/>
        <w:jc w:val="left"/>
        <w:rPr/>
      </w:pPr>
      <w:r>
        <w:rPr/>
      </w:r>
    </w:p>
    <w:p>
      <w:pPr>
        <w:pStyle w:val="Normal"/>
        <w:bidi w:val="0"/>
        <w:jc w:val="left"/>
        <w:rPr/>
      </w:pPr>
      <w:r>
        <w:rPr/>
        <w:t>Vrijednost obveza i vlastitih izvora (B003) iznosi 11.230.678,43 EUR, što je u ravnoteži sa vrijednošću ukupne imovine. Neplaćene obveze (2) na dan 31.prosinca 2025. godine iznose 14.299.634,62 EUR i veće su za 28,5 % u odnosu na prethodnu godinu. Kod obveza za rashode poslovanja (23) povećanje u odnosu na prethodnu godinu iznosi 11,8 %, a obveze za nabavu nefinancijske imovine (24) iznose 35.495,43 EUR. (Razlozi povećanja obveza navedeni su u bilješkama uz obrazac Obveze).</w:t>
      </w:r>
    </w:p>
    <w:p>
      <w:pPr>
        <w:pStyle w:val="Normal"/>
        <w:bidi w:val="0"/>
        <w:jc w:val="left"/>
        <w:rPr/>
      </w:pPr>
      <w:r>
        <w:rPr/>
      </w:r>
    </w:p>
    <w:p>
      <w:pPr>
        <w:pStyle w:val="Normal"/>
        <w:keepNext w:val="true"/>
        <w:bidi w:val="0"/>
        <w:spacing w:lineRule="auto" w:line="240"/>
        <w:jc w:val="center"/>
        <w:rPr/>
      </w:pPr>
      <w:r>
        <w:rPr>
          <w:sz w:val="28"/>
        </w:rPr>
        <w:t>Bilješka 31.</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Stanje 1. siječnja</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Stanje 31. prosinca</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9</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Vlastiti izvori (šifre 91 + 922 - 93 + 96 + 97)</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9</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-83.572,08</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-3.068.956,19</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3672,2</w:t>
            </w:r>
          </w:p>
        </w:tc>
      </w:tr>
    </w:tbl>
    <w:p>
      <w:pPr>
        <w:pStyle w:val="Normal"/>
        <w:bidi w:val="0"/>
        <w:spacing w:before="0" w:after="0"/>
        <w:jc w:val="left"/>
        <w:rPr/>
      </w:pPr>
      <w:r>
        <w:rPr/>
      </w:r>
    </w:p>
    <w:p>
      <w:pPr>
        <w:pStyle w:val="Normal"/>
        <w:bidi w:val="0"/>
        <w:jc w:val="left"/>
        <w:rPr/>
      </w:pPr>
      <w:r>
        <w:rPr/>
        <w:t>Vrijednost vlastitih izvora na dan 31. prosinca 2025. godine iznosi −3.068.956,19 EUR. (9)</w:t>
      </w:r>
    </w:p>
    <w:p>
      <w:pPr>
        <w:pStyle w:val="Normal"/>
        <w:bidi w:val="0"/>
        <w:jc w:val="left"/>
        <w:rPr/>
      </w:pPr>
      <w:r>
        <w:rPr/>
      </w:r>
    </w:p>
    <w:p>
      <w:pPr>
        <w:pStyle w:val="Normal"/>
        <w:keepNext w:val="true"/>
        <w:bidi w:val="0"/>
        <w:spacing w:lineRule="auto" w:line="240"/>
        <w:jc w:val="center"/>
        <w:rPr/>
      </w:pPr>
      <w:r>
        <w:rPr>
          <w:sz w:val="28"/>
        </w:rPr>
        <w:t>Bilješka 32.</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Stanje 1. siječnja</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Stanje 31. prosinca</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92222</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Manjak prihoda od nefinancijske imovine</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92222</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263.952,80</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1.153.102,90</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436,9</w:t>
            </w:r>
          </w:p>
        </w:tc>
      </w:tr>
    </w:tbl>
    <w:p>
      <w:pPr>
        <w:pStyle w:val="Normal"/>
        <w:bidi w:val="0"/>
        <w:spacing w:before="0" w:after="0"/>
        <w:jc w:val="left"/>
        <w:rPr/>
      </w:pPr>
      <w:r>
        <w:rPr/>
      </w:r>
    </w:p>
    <w:p>
      <w:pPr>
        <w:pStyle w:val="Normal"/>
        <w:bidi w:val="0"/>
        <w:jc w:val="left"/>
        <w:rPr/>
      </w:pPr>
      <w:r>
        <w:rPr/>
        <w:t>Korekcija rezultata će se provesti nakon odluke Upravnog vijeća pa će se tad smanjiti manjak prihoda od nefinancijske imovine.</w:t>
      </w:r>
    </w:p>
    <w:p>
      <w:pPr>
        <w:pStyle w:val="Normal"/>
        <w:bidi w:val="0"/>
        <w:jc w:val="left"/>
        <w:rPr/>
      </w:pPr>
      <w:r>
        <w:rPr/>
      </w:r>
    </w:p>
    <w:p>
      <w:pPr>
        <w:pStyle w:val="Normal"/>
        <w:keepNext w:val="true"/>
        <w:bidi w:val="0"/>
        <w:spacing w:lineRule="auto" w:line="240"/>
        <w:jc w:val="center"/>
        <w:rPr/>
      </w:pPr>
      <w:r>
        <w:rPr>
          <w:b/>
          <w:sz w:val="28"/>
        </w:rPr>
        <w:t>Izvještaj o rashodima prema funkcijskoj klasifikaciji</w:t>
      </w:r>
    </w:p>
    <w:p>
      <w:pPr>
        <w:pStyle w:val="Normal"/>
        <w:keepNext w:val="true"/>
        <w:bidi w:val="0"/>
        <w:spacing w:lineRule="auto" w:line="240"/>
        <w:jc w:val="center"/>
        <w:rPr/>
      </w:pPr>
      <w:r>
        <w:rPr>
          <w:sz w:val="28"/>
        </w:rPr>
        <w:t>Bilješka 33.</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prethodne godine</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Ostvareno u izvještajnom razdoblju tekuće godine</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0731</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Usluge općih bolnica</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0731</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14.172.271,03</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15.691.526,02</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110,7</w:t>
            </w:r>
          </w:p>
        </w:tc>
      </w:tr>
    </w:tbl>
    <w:p>
      <w:pPr>
        <w:pStyle w:val="Normal"/>
        <w:bidi w:val="0"/>
        <w:spacing w:before="0" w:after="0"/>
        <w:jc w:val="left"/>
        <w:rPr/>
      </w:pPr>
      <w:r>
        <w:rPr/>
      </w:r>
    </w:p>
    <w:p>
      <w:pPr>
        <w:pStyle w:val="Normal"/>
        <w:bidi w:val="0"/>
        <w:jc w:val="left"/>
        <w:rPr/>
      </w:pPr>
      <w:r>
        <w:rPr/>
        <w:t>Izvještaj o rashodima prema funkcijskoj klasifikaciji iskazuje na šifri 0731 u iznosu od 15.691.526,02 EUR, a odnosi se na usluge općih bolnica. </w:t>
      </w:r>
    </w:p>
    <w:p>
      <w:pPr>
        <w:pStyle w:val="Normal"/>
        <w:bidi w:val="0"/>
        <w:jc w:val="left"/>
        <w:rPr/>
      </w:pPr>
      <w:r>
        <w:rPr/>
      </w:r>
    </w:p>
    <w:p>
      <w:pPr>
        <w:pStyle w:val="Normal"/>
        <w:keepNext w:val="true"/>
        <w:bidi w:val="0"/>
        <w:spacing w:lineRule="auto" w:line="240"/>
        <w:jc w:val="center"/>
        <w:rPr/>
      </w:pPr>
      <w:r>
        <w:rPr>
          <w:b/>
          <w:sz w:val="28"/>
        </w:rPr>
        <w:t>Promjene u vrijednosti i obujmu imovine i obveza</w:t>
      </w:r>
    </w:p>
    <w:p>
      <w:pPr>
        <w:pStyle w:val="Normal"/>
        <w:keepNext w:val="true"/>
        <w:bidi w:val="0"/>
        <w:spacing w:lineRule="auto" w:line="240"/>
        <w:jc w:val="center"/>
        <w:rPr/>
      </w:pPr>
      <w:r>
        <w:rPr>
          <w:sz w:val="28"/>
        </w:rPr>
        <w:t>Bilješka 34.</w:t>
      </w:r>
    </w:p>
    <w:tbl>
      <w:tblPr>
        <w:tblW w:w="9000" w:type="dxa"/>
        <w:jc w:val="left"/>
        <w:tblInd w:w="55" w:type="dxa"/>
        <w:tblLayout w:type="fixed"/>
        <w:tblCellMar>
          <w:top w:w="0" w:type="dxa"/>
          <w:left w:w="40" w:type="dxa"/>
          <w:bottom w:w="0" w:type="dxa"/>
          <w:right w:w="40" w:type="dxa"/>
        </w:tblCellMar>
      </w:tblPr>
      <w:tblGrid>
        <w:gridCol w:w="700"/>
        <w:gridCol w:w="3179"/>
        <w:gridCol w:w="701"/>
        <w:gridCol w:w="1860"/>
        <w:gridCol w:w="1859"/>
        <w:gridCol w:w="700"/>
      </w:tblGrid>
      <w:tr>
        <w:trPr>
          <w:cantSplit w:val="true"/>
        </w:trPr>
        <w:tc>
          <w:tcPr>
            <w:tcW w:w="700"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317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701"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1860"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Iznos povećanja</w:t>
            </w:r>
          </w:p>
        </w:tc>
        <w:tc>
          <w:tcPr>
            <w:tcW w:w="1859"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Iznos smanjenja</w:t>
            </w:r>
          </w:p>
        </w:tc>
        <w:tc>
          <w:tcPr>
            <w:tcW w:w="700"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700"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9151</w:t>
            </w:r>
          </w:p>
        </w:tc>
        <w:tc>
          <w:tcPr>
            <w:tcW w:w="317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Promjene u vrijednosti i obujmu imovine (šifre 91511+91512)</w:t>
            </w:r>
          </w:p>
        </w:tc>
        <w:tc>
          <w:tcPr>
            <w:tcW w:w="701"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9151</w:t>
            </w:r>
          </w:p>
        </w:tc>
        <w:tc>
          <w:tcPr>
            <w:tcW w:w="1860"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0,00</w:t>
            </w:r>
          </w:p>
        </w:tc>
        <w:tc>
          <w:tcPr>
            <w:tcW w:w="1859"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514.128,29</w:t>
            </w:r>
          </w:p>
        </w:tc>
        <w:tc>
          <w:tcPr>
            <w:tcW w:w="700"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w:t>
            </w:r>
          </w:p>
        </w:tc>
      </w:tr>
    </w:tbl>
    <w:p>
      <w:pPr>
        <w:pStyle w:val="Normal"/>
        <w:bidi w:val="0"/>
        <w:spacing w:before="0" w:after="0"/>
        <w:jc w:val="left"/>
        <w:rPr/>
      </w:pPr>
      <w:r>
        <w:rPr/>
      </w:r>
    </w:p>
    <w:p>
      <w:pPr>
        <w:pStyle w:val="Normal"/>
        <w:bidi w:val="0"/>
        <w:jc w:val="left"/>
        <w:rPr/>
      </w:pPr>
      <w:r>
        <w:rPr/>
        <w:t>Bolnica u razdoblju od 1. siječnja  do 31. prosinca 2025. godine ima smanjenje u vrijednosti i obujmu imovine (šifra 9151) u iznosu od 514.128,29 EUR. Prema čl. 120. i 121. Novog Pravilnika ispravak vrijednosti dugotrajne nefinancijske imovine napravljen je preko podskupine 915.</w:t>
      </w:r>
    </w:p>
    <w:p>
      <w:pPr>
        <w:pStyle w:val="Normal"/>
        <w:bidi w:val="0"/>
        <w:jc w:val="left"/>
        <w:rPr/>
      </w:pPr>
      <w:r>
        <w:rPr/>
      </w:r>
    </w:p>
    <w:p>
      <w:pPr>
        <w:pStyle w:val="Normal"/>
        <w:keepNext w:val="true"/>
        <w:bidi w:val="0"/>
        <w:spacing w:lineRule="auto" w:line="240"/>
        <w:jc w:val="center"/>
        <w:rPr/>
      </w:pPr>
      <w:r>
        <w:rPr>
          <w:b/>
          <w:sz w:val="28"/>
        </w:rPr>
        <w:t>Izvještaj o obvezama</w:t>
      </w:r>
    </w:p>
    <w:p>
      <w:pPr>
        <w:pStyle w:val="Normal"/>
        <w:keepNext w:val="true"/>
        <w:bidi w:val="0"/>
        <w:spacing w:lineRule="auto" w:line="240"/>
        <w:jc w:val="center"/>
        <w:rPr/>
      </w:pPr>
      <w:r>
        <w:rPr>
          <w:sz w:val="28"/>
        </w:rPr>
        <w:t>Bilješka 35.</w:t>
      </w:r>
    </w:p>
    <w:tbl>
      <w:tblPr>
        <w:tblW w:w="9000" w:type="dxa"/>
        <w:jc w:val="left"/>
        <w:tblInd w:w="55" w:type="dxa"/>
        <w:tblLayout w:type="fixed"/>
        <w:tblCellMar>
          <w:top w:w="0" w:type="dxa"/>
          <w:left w:w="40" w:type="dxa"/>
          <w:bottom w:w="0" w:type="dxa"/>
          <w:right w:w="40" w:type="dxa"/>
        </w:tblCellMar>
      </w:tblPr>
      <w:tblGrid>
        <w:gridCol w:w="882"/>
        <w:gridCol w:w="4007"/>
        <w:gridCol w:w="883"/>
        <w:gridCol w:w="2346"/>
        <w:gridCol w:w="882"/>
      </w:tblGrid>
      <w:tr>
        <w:trPr>
          <w:cantSplit w:val="true"/>
        </w:trPr>
        <w:tc>
          <w:tcPr>
            <w:tcW w:w="882"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4007"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883"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2346"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Iznos</w:t>
            </w:r>
          </w:p>
        </w:tc>
        <w:tc>
          <w:tcPr>
            <w:tcW w:w="882"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882"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r>
          </w:p>
        </w:tc>
        <w:tc>
          <w:tcPr>
            <w:tcW w:w="4007"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Stanje obveza 1. siječnja (=stanju obveza iz Izvještaja o obvezama na 31. prosinca prethodne godine)</w:t>
            </w:r>
          </w:p>
        </w:tc>
        <w:tc>
          <w:tcPr>
            <w:tcW w:w="883"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V001</w:t>
            </w:r>
          </w:p>
        </w:tc>
        <w:tc>
          <w:tcPr>
            <w:tcW w:w="2346"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11.124.898,35</w:t>
            </w:r>
          </w:p>
        </w:tc>
        <w:tc>
          <w:tcPr>
            <w:tcW w:w="882"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w:t>
            </w:r>
          </w:p>
        </w:tc>
      </w:tr>
    </w:tbl>
    <w:p>
      <w:pPr>
        <w:pStyle w:val="Normal"/>
        <w:bidi w:val="0"/>
        <w:spacing w:before="0" w:after="0"/>
        <w:jc w:val="left"/>
        <w:rPr/>
      </w:pPr>
      <w:r>
        <w:rPr/>
      </w:r>
    </w:p>
    <w:p>
      <w:pPr>
        <w:pStyle w:val="Normal"/>
        <w:bidi w:val="0"/>
        <w:jc w:val="left"/>
        <w:rPr/>
      </w:pPr>
      <w:r>
        <w:rPr/>
        <w:t>Stanje ukupnih obveza na dan 1. siječnja 2025. godine iznosilo je 11.124.898,35 EUR. U izvještajnom razdoblju bilježi se povećanje obveza u iznosu od 27.204.134,00 EUR, dok je istovremeno podmireno obveza u iznosu od 24.033.397,73 EUR, te je na osnovu navedenog utvrđeno stanje obveza na dan 31. prosinca 2025. godine u iznosu od 14.295.634,62 EUR. Dospjele obveze na kraju izvještajnog razdoblja iznose 135.712,16 EUR. Nedospjele obveze na dan 31. prosinca 2025. godine iznose 14.159.922,46 EUR.</w:t>
      </w:r>
    </w:p>
    <w:p>
      <w:pPr>
        <w:pStyle w:val="Normal"/>
        <w:bidi w:val="0"/>
        <w:jc w:val="left"/>
        <w:rPr/>
      </w:pPr>
      <w:r>
        <w:rPr/>
      </w:r>
    </w:p>
    <w:p>
      <w:pPr>
        <w:pStyle w:val="Normal"/>
        <w:keepNext w:val="true"/>
        <w:bidi w:val="0"/>
        <w:spacing w:lineRule="auto" w:line="240"/>
        <w:jc w:val="center"/>
        <w:rPr/>
      </w:pPr>
      <w:r>
        <w:rPr>
          <w:sz w:val="28"/>
        </w:rPr>
        <w:t>Bilješka 36.</w:t>
      </w:r>
    </w:p>
    <w:tbl>
      <w:tblPr>
        <w:tblW w:w="9000" w:type="dxa"/>
        <w:jc w:val="left"/>
        <w:tblInd w:w="55" w:type="dxa"/>
        <w:tblLayout w:type="fixed"/>
        <w:tblCellMar>
          <w:top w:w="0" w:type="dxa"/>
          <w:left w:w="40" w:type="dxa"/>
          <w:bottom w:w="0" w:type="dxa"/>
          <w:right w:w="40" w:type="dxa"/>
        </w:tblCellMar>
      </w:tblPr>
      <w:tblGrid>
        <w:gridCol w:w="882"/>
        <w:gridCol w:w="4007"/>
        <w:gridCol w:w="883"/>
        <w:gridCol w:w="2346"/>
        <w:gridCol w:w="882"/>
      </w:tblGrid>
      <w:tr>
        <w:trPr>
          <w:cantSplit w:val="true"/>
        </w:trPr>
        <w:tc>
          <w:tcPr>
            <w:tcW w:w="882"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4007"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883"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2346"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Iznos</w:t>
            </w:r>
          </w:p>
        </w:tc>
        <w:tc>
          <w:tcPr>
            <w:tcW w:w="882"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882"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r>
          </w:p>
        </w:tc>
        <w:tc>
          <w:tcPr>
            <w:tcW w:w="4007"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Stanje obveza na kraju izvještajnog razdoblja (šifre V001+V002-V004) i (šifre V007+V009)</w:t>
            </w:r>
          </w:p>
        </w:tc>
        <w:tc>
          <w:tcPr>
            <w:tcW w:w="883"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V006</w:t>
            </w:r>
          </w:p>
        </w:tc>
        <w:tc>
          <w:tcPr>
            <w:tcW w:w="2346"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14.295.634,62</w:t>
            </w:r>
          </w:p>
        </w:tc>
        <w:tc>
          <w:tcPr>
            <w:tcW w:w="882"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w:t>
            </w:r>
          </w:p>
        </w:tc>
      </w:tr>
    </w:tbl>
    <w:p>
      <w:pPr>
        <w:pStyle w:val="Normal"/>
        <w:bidi w:val="0"/>
        <w:spacing w:before="0" w:after="0"/>
        <w:jc w:val="left"/>
        <w:rPr/>
      </w:pPr>
      <w:r>
        <w:rPr/>
      </w:r>
    </w:p>
    <w:p>
      <w:pPr>
        <w:pStyle w:val="Normal"/>
        <w:bidi w:val="0"/>
        <w:jc w:val="left"/>
        <w:rPr/>
      </w:pPr>
      <w:r>
        <w:rPr/>
        <w:t>Stanje obveza na kraju izvještajnog razdoblja sastoji se iz: obveza prema dobavljačima za isporučenu robu i usluge u iznosu od 559.956,02 EUR, obveza prema zaposlenima u iznosu od 957.124,66 EUR (bruto plaće, naknade za prijevoz, doprinosi i naknade), obveze prema HZZO-u za manje izvršeni rad u iznosu od 12.737.659,48 EUR i ostale nespomenute obveze u iznosu od 40.894,46 EUR.</w:t>
      </w:r>
    </w:p>
    <w:p>
      <w:pPr>
        <w:pStyle w:val="Normal"/>
        <w:bidi w:val="0"/>
        <w:jc w:val="left"/>
        <w:rPr/>
      </w:pPr>
      <w:r>
        <w:rPr/>
      </w:r>
    </w:p>
    <w:p>
      <w:pPr>
        <w:pStyle w:val="Normal"/>
        <w:keepNext w:val="true"/>
        <w:bidi w:val="0"/>
        <w:spacing w:lineRule="auto" w:line="240"/>
        <w:jc w:val="center"/>
        <w:rPr/>
      </w:pPr>
      <w:r>
        <w:rPr>
          <w:sz w:val="28"/>
        </w:rPr>
        <w:t>Bilješka 37.</w:t>
      </w:r>
    </w:p>
    <w:tbl>
      <w:tblPr>
        <w:tblW w:w="9000" w:type="dxa"/>
        <w:jc w:val="left"/>
        <w:tblInd w:w="55" w:type="dxa"/>
        <w:tblLayout w:type="fixed"/>
        <w:tblCellMar>
          <w:top w:w="0" w:type="dxa"/>
          <w:left w:w="40" w:type="dxa"/>
          <w:bottom w:w="0" w:type="dxa"/>
          <w:right w:w="40" w:type="dxa"/>
        </w:tblCellMar>
      </w:tblPr>
      <w:tblGrid>
        <w:gridCol w:w="882"/>
        <w:gridCol w:w="4007"/>
        <w:gridCol w:w="883"/>
        <w:gridCol w:w="2346"/>
        <w:gridCol w:w="882"/>
      </w:tblGrid>
      <w:tr>
        <w:trPr>
          <w:cantSplit w:val="true"/>
        </w:trPr>
        <w:tc>
          <w:tcPr>
            <w:tcW w:w="882" w:type="dxa"/>
            <w:tcBorders>
              <w:top w:val="single" w:sz="12" w:space="0" w:color="BABABA"/>
              <w:left w:val="single" w:sz="12" w:space="0" w:color="BABAB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Račun iz rač. plana</w:t>
            </w:r>
          </w:p>
        </w:tc>
        <w:tc>
          <w:tcPr>
            <w:tcW w:w="4007"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Opis stavke</w:t>
            </w:r>
          </w:p>
        </w:tc>
        <w:tc>
          <w:tcPr>
            <w:tcW w:w="883"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Šifra</w:t>
            </w:r>
          </w:p>
        </w:tc>
        <w:tc>
          <w:tcPr>
            <w:tcW w:w="2346" w:type="dxa"/>
            <w:tcBorders>
              <w:top w:val="single" w:sz="12" w:space="0" w:color="BABABA"/>
              <w:left w:val="single" w:sz="8" w:space="0" w:color="DADADA"/>
              <w:bottom w:val="single" w:sz="8" w:space="0" w:color="BABABA"/>
              <w:right w:val="single" w:sz="8" w:space="0" w:color="DADADA"/>
            </w:tcBorders>
            <w:shd w:color="auto" w:fill="E7F0F9" w:val="clear"/>
            <w:vAlign w:val="center"/>
          </w:tcPr>
          <w:p>
            <w:pPr>
              <w:pStyle w:val="Normal"/>
              <w:keepNext w:val="true"/>
              <w:keepLines/>
              <w:bidi w:val="0"/>
              <w:spacing w:lineRule="auto" w:line="240" w:before="0" w:after="0"/>
              <w:jc w:val="center"/>
              <w:rPr/>
            </w:pPr>
            <w:r>
              <w:rPr>
                <w:b/>
                <w:sz w:val="18"/>
              </w:rPr>
              <w:t>Iznos</w:t>
            </w:r>
          </w:p>
        </w:tc>
        <w:tc>
          <w:tcPr>
            <w:tcW w:w="882" w:type="dxa"/>
            <w:tcBorders>
              <w:top w:val="single" w:sz="12" w:space="0" w:color="BABABA"/>
              <w:left w:val="single" w:sz="8" w:space="0" w:color="DADADA"/>
              <w:bottom w:val="single" w:sz="8" w:space="0" w:color="BABABA"/>
              <w:right w:val="single" w:sz="12" w:space="0" w:color="BABABA"/>
            </w:tcBorders>
            <w:shd w:color="auto" w:fill="E7F0F9" w:val="clear"/>
            <w:vAlign w:val="center"/>
          </w:tcPr>
          <w:p>
            <w:pPr>
              <w:pStyle w:val="Normal"/>
              <w:keepNext w:val="true"/>
              <w:keepLines/>
              <w:bidi w:val="0"/>
              <w:spacing w:lineRule="auto" w:line="240" w:before="0" w:after="0"/>
              <w:jc w:val="center"/>
              <w:rPr/>
            </w:pPr>
            <w:r>
              <w:rPr>
                <w:b/>
                <w:sz w:val="18"/>
              </w:rPr>
              <w:t>Indeks (%)</w:t>
            </w:r>
          </w:p>
        </w:tc>
      </w:tr>
      <w:tr>
        <w:trPr>
          <w:trHeight w:val="560" w:hRule="atLeast"/>
          <w:cantSplit w:val="true"/>
        </w:trPr>
        <w:tc>
          <w:tcPr>
            <w:tcW w:w="882" w:type="dxa"/>
            <w:tcBorders>
              <w:top w:val="single" w:sz="8" w:space="0" w:color="BABABA"/>
              <w:left w:val="single" w:sz="12" w:space="0" w:color="BABABA"/>
              <w:bottom w:val="single" w:sz="12" w:space="0" w:color="BABABA"/>
              <w:right w:val="single" w:sz="8" w:space="0" w:color="DADADA"/>
            </w:tcBorders>
            <w:vAlign w:val="center"/>
          </w:tcPr>
          <w:p>
            <w:pPr>
              <w:pStyle w:val="Normal"/>
              <w:keepNext w:val="true"/>
              <w:keepLines/>
              <w:bidi w:val="0"/>
              <w:spacing w:lineRule="auto" w:line="240" w:before="0" w:after="0"/>
              <w:jc w:val="left"/>
              <w:rPr/>
            </w:pPr>
            <w:r>
              <w:rPr/>
            </w:r>
          </w:p>
        </w:tc>
        <w:tc>
          <w:tcPr>
            <w:tcW w:w="4007"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Stanje dospjelih obveza na kraju izvještajnog razdoblja (šifre V008+D23+D24 + 'D dio 25,26' + D27)</w:t>
            </w:r>
          </w:p>
        </w:tc>
        <w:tc>
          <w:tcPr>
            <w:tcW w:w="883"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left"/>
              <w:rPr/>
            </w:pPr>
            <w:r>
              <w:rPr>
                <w:sz w:val="18"/>
              </w:rPr>
              <w:t>V007</w:t>
            </w:r>
          </w:p>
        </w:tc>
        <w:tc>
          <w:tcPr>
            <w:tcW w:w="2346" w:type="dxa"/>
            <w:tcBorders>
              <w:top w:val="single" w:sz="8" w:space="0" w:color="BABABA"/>
              <w:left w:val="single" w:sz="8" w:space="0" w:color="DADADA"/>
              <w:bottom w:val="single" w:sz="12" w:space="0" w:color="BABABA"/>
              <w:right w:val="single" w:sz="8" w:space="0" w:color="DADADA"/>
            </w:tcBorders>
            <w:vAlign w:val="center"/>
          </w:tcPr>
          <w:p>
            <w:pPr>
              <w:pStyle w:val="Normal"/>
              <w:keepNext w:val="true"/>
              <w:keepLines/>
              <w:bidi w:val="0"/>
              <w:spacing w:lineRule="auto" w:line="240" w:before="0" w:after="0"/>
              <w:jc w:val="right"/>
              <w:rPr/>
            </w:pPr>
            <w:r>
              <w:rPr>
                <w:sz w:val="18"/>
              </w:rPr>
              <w:t>135.712,16</w:t>
            </w:r>
          </w:p>
        </w:tc>
        <w:tc>
          <w:tcPr>
            <w:tcW w:w="882" w:type="dxa"/>
            <w:tcBorders>
              <w:top w:val="single" w:sz="8" w:space="0" w:color="BABABA"/>
              <w:left w:val="single" w:sz="8" w:space="0" w:color="DADADA"/>
              <w:bottom w:val="single" w:sz="12" w:space="0" w:color="BABABA"/>
              <w:right w:val="single" w:sz="12" w:space="0" w:color="BABABA"/>
            </w:tcBorders>
            <w:vAlign w:val="center"/>
          </w:tcPr>
          <w:p>
            <w:pPr>
              <w:pStyle w:val="Normal"/>
              <w:keepNext w:val="true"/>
              <w:keepLines/>
              <w:bidi w:val="0"/>
              <w:spacing w:lineRule="auto" w:line="240" w:before="0" w:after="0"/>
              <w:jc w:val="right"/>
              <w:rPr/>
            </w:pPr>
            <w:r>
              <w:rPr>
                <w:sz w:val="18"/>
              </w:rPr>
              <w:t>-</w:t>
            </w:r>
          </w:p>
        </w:tc>
      </w:tr>
    </w:tbl>
    <w:p>
      <w:pPr>
        <w:pStyle w:val="Normal"/>
        <w:bidi w:val="0"/>
        <w:spacing w:before="0" w:after="0"/>
        <w:jc w:val="left"/>
        <w:rPr/>
      </w:pPr>
      <w:r>
        <w:rPr/>
      </w:r>
    </w:p>
    <w:p>
      <w:pPr>
        <w:pStyle w:val="Normal"/>
        <w:bidi w:val="0"/>
        <w:jc w:val="left"/>
        <w:rPr/>
      </w:pPr>
      <w:r>
        <w:rPr/>
        <w:t>Stanje dospjelih obveza na kraju izvještajnog razdoblja iznosi 135.712,16 EUR, a rezultat je raskoraka u dinamici ostvarenja prihoda u odnosu na dospjele obveze. Navedene dospjele obveze biti će podmirene tokom mjeseca siječnja 2026. godine po ostvarenju prihoda. Bolnica je na dan 31. prosinca 2025. godine uspjela isplatiti sve dospjele obveze prema zaposlenicima i smanjiti dug prema dobavljačima na 30 dana.</w:t>
      </w:r>
    </w:p>
    <w:p>
      <w:pPr>
        <w:pStyle w:val="Normal"/>
        <w:bidi w:val="0"/>
        <w:jc w:val="left"/>
        <w:rPr/>
      </w:pPr>
      <w:r>
        <w:rPr/>
      </w:r>
    </w:p>
    <w:p>
      <w:pPr>
        <w:pStyle w:val="Normal"/>
        <w:jc w:val="both"/>
        <w:rPr>
          <w:rFonts w:ascii="Times New Roman" w:hAnsi="Times New Roman" w:cs="Times New Roman"/>
          <w:b/>
          <w:bCs/>
          <w:sz w:val="24"/>
          <w:szCs w:val="24"/>
        </w:rPr>
      </w:pPr>
      <w:r>
        <w:rPr/>
      </w:r>
    </w:p>
    <w:p>
      <w:pPr>
        <w:pStyle w:val="Normal"/>
        <w:jc w:val="both"/>
        <w:rPr/>
      </w:pPr>
      <w:r>
        <w:rPr>
          <w:rFonts w:cs="Times New Roman" w:ascii="Times New Roman" w:hAnsi="Times New Roman"/>
          <w:b/>
          <w:bCs/>
          <w:sz w:val="24"/>
          <w:szCs w:val="24"/>
        </w:rPr>
        <w:t>Prilog Bilješkama -sudski sporovi i izvanbilančni zapisi na dan 31.12.202</w:t>
      </w:r>
      <w:r>
        <w:rPr>
          <w:rFonts w:cs="Times New Roman" w:ascii="Times New Roman" w:hAnsi="Times New Roman"/>
          <w:b/>
          <w:bCs/>
          <w:sz w:val="24"/>
          <w:szCs w:val="24"/>
        </w:rPr>
        <w:t>5</w:t>
      </w:r>
      <w:r>
        <w:rPr>
          <w:rFonts w:cs="Times New Roman" w:ascii="Times New Roman" w:hAnsi="Times New Roman"/>
          <w:b/>
          <w:bCs/>
          <w:sz w:val="24"/>
          <w:szCs w:val="24"/>
        </w:rPr>
        <w:t>. godine</w:t>
      </w:r>
    </w:p>
    <w:p>
      <w:pPr>
        <w:pStyle w:val="Normal"/>
        <w:jc w:val="both"/>
        <w:rPr>
          <w:rFonts w:ascii="Times New Roman" w:hAnsi="Times New Roman" w:cs="Times New Roman"/>
          <w:b/>
          <w:bCs/>
          <w:sz w:val="24"/>
          <w:szCs w:val="24"/>
        </w:rPr>
      </w:pPr>
      <w:r>
        <w:rPr/>
      </w:r>
    </w:p>
    <w:p>
      <w:pPr>
        <w:pStyle w:val="Normal"/>
        <w:bidi w:val="0"/>
        <w:jc w:val="left"/>
        <w:rPr/>
      </w:pPr>
      <w:r>
        <w:rPr/>
      </w:r>
    </w:p>
    <w:tbl>
      <w:tblPr>
        <w:tblW w:w="8498" w:type="dxa"/>
        <w:jc w:val="left"/>
        <w:tblInd w:w="25" w:type="dxa"/>
        <w:tblLayout w:type="fixed"/>
        <w:tblCellMar>
          <w:top w:w="55" w:type="dxa"/>
          <w:left w:w="55" w:type="dxa"/>
          <w:bottom w:w="55" w:type="dxa"/>
          <w:right w:w="55" w:type="dxa"/>
        </w:tblCellMar>
      </w:tblPr>
      <w:tblGrid>
        <w:gridCol w:w="1448"/>
        <w:gridCol w:w="5618"/>
        <w:gridCol w:w="1431"/>
      </w:tblGrid>
      <w:tr>
        <w:trPr>
          <w:trHeight w:val="256" w:hRule="atLeast"/>
        </w:trPr>
        <w:tc>
          <w:tcPr>
            <w:tcW w:w="8497" w:type="dxa"/>
            <w:gridSpan w:val="3"/>
            <w:tcBorders>
              <w:top w:val="single" w:sz="4" w:space="0" w:color="000000"/>
              <w:left w:val="single" w:sz="4" w:space="0" w:color="000000"/>
              <w:bottom w:val="single" w:sz="4" w:space="0" w:color="000000"/>
              <w:right w:val="single" w:sz="4" w:space="0" w:color="000000"/>
            </w:tcBorders>
            <w:vAlign w:val="bottom"/>
          </w:tcPr>
          <w:p>
            <w:pPr>
              <w:pStyle w:val="Normal"/>
              <w:tabs>
                <w:tab w:val="clear" w:pos="709"/>
              </w:tabs>
              <w:jc w:val="center"/>
              <w:rPr>
                <w:sz w:val="18"/>
                <w:szCs w:val="18"/>
              </w:rPr>
            </w:pPr>
            <w:r>
              <w:rPr>
                <w:b/>
                <w:sz w:val="18"/>
                <w:szCs w:val="18"/>
              </w:rPr>
              <w:t>POTENCIJALNE OBVEZE PO SUDSKIM SPOROVIMA</w:t>
            </w:r>
          </w:p>
        </w:tc>
      </w:tr>
      <w:tr>
        <w:trPr>
          <w:trHeight w:val="481" w:hRule="atLeast"/>
        </w:trPr>
        <w:tc>
          <w:tcPr>
            <w:tcW w:w="1448" w:type="dxa"/>
            <w:tcBorders>
              <w:left w:val="single" w:sz="4" w:space="0" w:color="000000"/>
              <w:bottom w:val="single" w:sz="4" w:space="0" w:color="000000"/>
            </w:tcBorders>
            <w:vAlign w:val="bottom"/>
          </w:tcPr>
          <w:p>
            <w:pPr>
              <w:pStyle w:val="Normal"/>
              <w:tabs>
                <w:tab w:val="clear" w:pos="709"/>
              </w:tabs>
              <w:jc w:val="center"/>
              <w:rPr>
                <w:sz w:val="18"/>
                <w:szCs w:val="18"/>
              </w:rPr>
            </w:pPr>
            <w:r>
              <w:rPr>
                <w:b/>
                <w:sz w:val="18"/>
                <w:szCs w:val="18"/>
              </w:rPr>
              <w:t>Broj predmeta</w:t>
            </w:r>
          </w:p>
        </w:tc>
        <w:tc>
          <w:tcPr>
            <w:tcW w:w="5618" w:type="dxa"/>
            <w:tcBorders>
              <w:left w:val="single" w:sz="4" w:space="0" w:color="000000"/>
              <w:bottom w:val="single" w:sz="4" w:space="0" w:color="000000"/>
            </w:tcBorders>
            <w:vAlign w:val="bottom"/>
          </w:tcPr>
          <w:p>
            <w:pPr>
              <w:pStyle w:val="Normal"/>
              <w:tabs>
                <w:tab w:val="clear" w:pos="709"/>
              </w:tabs>
              <w:jc w:val="center"/>
              <w:rPr>
                <w:sz w:val="18"/>
                <w:szCs w:val="18"/>
              </w:rPr>
            </w:pPr>
            <w:r>
              <w:rPr>
                <w:b/>
                <w:sz w:val="18"/>
                <w:szCs w:val="18"/>
              </w:rPr>
              <w:t>Opis prirode spora</w:t>
            </w:r>
          </w:p>
        </w:tc>
        <w:tc>
          <w:tcPr>
            <w:tcW w:w="1431" w:type="dxa"/>
            <w:tcBorders>
              <w:left w:val="single" w:sz="4" w:space="0" w:color="000000"/>
              <w:bottom w:val="single" w:sz="4" w:space="0" w:color="000000"/>
              <w:right w:val="single" w:sz="4" w:space="0" w:color="000000"/>
            </w:tcBorders>
            <w:vAlign w:val="bottom"/>
          </w:tcPr>
          <w:p>
            <w:pPr>
              <w:pStyle w:val="Normal"/>
              <w:tabs>
                <w:tab w:val="clear" w:pos="709"/>
              </w:tabs>
              <w:jc w:val="center"/>
              <w:rPr>
                <w:sz w:val="18"/>
                <w:szCs w:val="18"/>
              </w:rPr>
            </w:pPr>
            <w:r>
              <w:rPr>
                <w:b/>
                <w:sz w:val="18"/>
                <w:szCs w:val="18"/>
              </w:rPr>
              <w:t xml:space="preserve">Procjena </w:t>
              <w:br/>
              <w:t>Fin. učinka</w:t>
            </w:r>
          </w:p>
        </w:tc>
      </w:tr>
      <w:tr>
        <w:trPr>
          <w:trHeight w:val="481" w:hRule="atLeast"/>
        </w:trPr>
        <w:tc>
          <w:tcPr>
            <w:tcW w:w="1448" w:type="dxa"/>
            <w:tcBorders>
              <w:left w:val="single" w:sz="4" w:space="0" w:color="000000"/>
              <w:bottom w:val="single" w:sz="4" w:space="0" w:color="000000"/>
            </w:tcBorders>
            <w:vAlign w:val="center"/>
          </w:tcPr>
          <w:p>
            <w:pPr>
              <w:pStyle w:val="Normal"/>
              <w:tabs>
                <w:tab w:val="clear" w:pos="709"/>
              </w:tabs>
              <w:jc w:val="left"/>
              <w:rPr>
                <w:sz w:val="18"/>
                <w:szCs w:val="18"/>
              </w:rPr>
            </w:pPr>
            <w:r>
              <w:rPr>
                <w:sz w:val="18"/>
                <w:szCs w:val="18"/>
              </w:rPr>
              <w:t>Pr-7371/21</w:t>
              <w:br/>
              <w:t>Pr-34/22 ŠI</w:t>
            </w:r>
          </w:p>
        </w:tc>
        <w:tc>
          <w:tcPr>
            <w:tcW w:w="5618" w:type="dxa"/>
            <w:tcBorders>
              <w:left w:val="single" w:sz="4" w:space="0" w:color="000000"/>
              <w:bottom w:val="single" w:sz="4" w:space="0" w:color="000000"/>
            </w:tcBorders>
            <w:vAlign w:val="center"/>
          </w:tcPr>
          <w:p>
            <w:pPr>
              <w:pStyle w:val="Normal"/>
              <w:tabs>
                <w:tab w:val="clear" w:pos="709"/>
              </w:tabs>
              <w:jc w:val="left"/>
              <w:rPr>
                <w:sz w:val="18"/>
                <w:szCs w:val="18"/>
              </w:rPr>
            </w:pPr>
            <w:r>
              <w:rPr>
                <w:sz w:val="18"/>
                <w:szCs w:val="18"/>
              </w:rPr>
              <w:t>Potraživanja radnika za dodatke na prekovremene sate</w:t>
            </w:r>
          </w:p>
        </w:tc>
        <w:tc>
          <w:tcPr>
            <w:tcW w:w="1431" w:type="dxa"/>
            <w:tcBorders>
              <w:left w:val="single" w:sz="4" w:space="0" w:color="000000"/>
              <w:bottom w:val="single" w:sz="4" w:space="0" w:color="000000"/>
              <w:right w:val="single" w:sz="4" w:space="0" w:color="000000"/>
            </w:tcBorders>
            <w:vAlign w:val="center"/>
          </w:tcPr>
          <w:p>
            <w:pPr>
              <w:pStyle w:val="Normal"/>
              <w:tabs>
                <w:tab w:val="clear" w:pos="709"/>
              </w:tabs>
              <w:jc w:val="center"/>
              <w:rPr>
                <w:sz w:val="18"/>
                <w:szCs w:val="18"/>
              </w:rPr>
            </w:pPr>
            <w:r>
              <w:rPr>
                <w:sz w:val="18"/>
                <w:szCs w:val="18"/>
              </w:rPr>
              <w:t>6.088,47</w:t>
            </w:r>
          </w:p>
        </w:tc>
      </w:tr>
      <w:tr>
        <w:trPr>
          <w:trHeight w:val="710" w:hRule="atLeast"/>
        </w:trPr>
        <w:tc>
          <w:tcPr>
            <w:tcW w:w="1448" w:type="dxa"/>
            <w:tcBorders>
              <w:left w:val="single" w:sz="4" w:space="0" w:color="000000"/>
              <w:bottom w:val="single" w:sz="4" w:space="0" w:color="000000"/>
            </w:tcBorders>
            <w:vAlign w:val="center"/>
          </w:tcPr>
          <w:p>
            <w:pPr>
              <w:pStyle w:val="Normal"/>
              <w:tabs>
                <w:tab w:val="clear" w:pos="709"/>
              </w:tabs>
              <w:jc w:val="left"/>
              <w:rPr>
                <w:sz w:val="18"/>
                <w:szCs w:val="18"/>
              </w:rPr>
            </w:pPr>
            <w:r>
              <w:rPr>
                <w:sz w:val="18"/>
                <w:szCs w:val="18"/>
              </w:rPr>
              <w:t>Pr-269/2021</w:t>
              <w:br/>
              <w:t>Pr-692/2021</w:t>
              <w:br/>
              <w:t>Pr-664/2021</w:t>
            </w:r>
          </w:p>
        </w:tc>
        <w:tc>
          <w:tcPr>
            <w:tcW w:w="5618" w:type="dxa"/>
            <w:tcBorders>
              <w:left w:val="single" w:sz="4" w:space="0" w:color="000000"/>
              <w:bottom w:val="single" w:sz="4" w:space="0" w:color="000000"/>
            </w:tcBorders>
            <w:vAlign w:val="center"/>
          </w:tcPr>
          <w:p>
            <w:pPr>
              <w:pStyle w:val="Normal"/>
              <w:tabs>
                <w:tab w:val="clear" w:pos="709"/>
              </w:tabs>
              <w:jc w:val="left"/>
              <w:rPr>
                <w:sz w:val="18"/>
                <w:szCs w:val="18"/>
              </w:rPr>
            </w:pPr>
            <w:r>
              <w:rPr>
                <w:sz w:val="18"/>
                <w:szCs w:val="18"/>
              </w:rPr>
              <w:t>Potraživanja radnika za osnovicu za obračun plaće</w:t>
            </w:r>
          </w:p>
        </w:tc>
        <w:tc>
          <w:tcPr>
            <w:tcW w:w="1431" w:type="dxa"/>
            <w:tcBorders>
              <w:left w:val="single" w:sz="4" w:space="0" w:color="000000"/>
              <w:bottom w:val="single" w:sz="4" w:space="0" w:color="000000"/>
              <w:right w:val="single" w:sz="4" w:space="0" w:color="000000"/>
            </w:tcBorders>
            <w:vAlign w:val="center"/>
          </w:tcPr>
          <w:p>
            <w:pPr>
              <w:pStyle w:val="Normal"/>
              <w:tabs>
                <w:tab w:val="clear" w:pos="709"/>
              </w:tabs>
              <w:jc w:val="center"/>
              <w:rPr>
                <w:sz w:val="18"/>
                <w:szCs w:val="18"/>
              </w:rPr>
            </w:pPr>
            <w:r>
              <w:rPr>
                <w:sz w:val="18"/>
                <w:szCs w:val="18"/>
              </w:rPr>
              <w:t>6.179,96</w:t>
            </w:r>
          </w:p>
        </w:tc>
      </w:tr>
      <w:tr>
        <w:trPr>
          <w:trHeight w:val="256" w:hRule="atLeast"/>
        </w:trPr>
        <w:tc>
          <w:tcPr>
            <w:tcW w:w="1448" w:type="dxa"/>
            <w:tcBorders>
              <w:left w:val="single" w:sz="4" w:space="0" w:color="000000"/>
              <w:bottom w:val="single" w:sz="4" w:space="0" w:color="000000"/>
            </w:tcBorders>
            <w:vAlign w:val="bottom"/>
          </w:tcPr>
          <w:p>
            <w:pPr>
              <w:pStyle w:val="Normal"/>
              <w:tabs>
                <w:tab w:val="clear" w:pos="709"/>
              </w:tabs>
              <w:jc w:val="center"/>
              <w:rPr>
                <w:sz w:val="18"/>
                <w:szCs w:val="18"/>
              </w:rPr>
            </w:pPr>
            <w:r>
              <w:rPr>
                <w:b/>
                <w:sz w:val="18"/>
                <w:szCs w:val="18"/>
              </w:rPr>
              <w:t>UKUPNO:</w:t>
            </w:r>
          </w:p>
        </w:tc>
        <w:tc>
          <w:tcPr>
            <w:tcW w:w="5618" w:type="dxa"/>
            <w:tcBorders>
              <w:left w:val="single" w:sz="4" w:space="0" w:color="000000"/>
              <w:bottom w:val="single" w:sz="4" w:space="0" w:color="000000"/>
            </w:tcBorders>
            <w:vAlign w:val="center"/>
          </w:tcPr>
          <w:p>
            <w:pPr>
              <w:pStyle w:val="Normal"/>
              <w:tabs>
                <w:tab w:val="clear" w:pos="709"/>
              </w:tabs>
              <w:jc w:val="center"/>
              <w:rPr>
                <w:b/>
                <w:sz w:val="18"/>
                <w:szCs w:val="18"/>
              </w:rPr>
            </w:pPr>
            <w:r>
              <w:rPr>
                <w:b/>
                <w:sz w:val="18"/>
                <w:szCs w:val="18"/>
              </w:rPr>
            </w:r>
          </w:p>
        </w:tc>
        <w:tc>
          <w:tcPr>
            <w:tcW w:w="1431" w:type="dxa"/>
            <w:tcBorders>
              <w:left w:val="single" w:sz="4" w:space="0" w:color="000000"/>
              <w:bottom w:val="single" w:sz="4" w:space="0" w:color="000000"/>
              <w:right w:val="single" w:sz="4" w:space="0" w:color="000000"/>
            </w:tcBorders>
            <w:vAlign w:val="center"/>
          </w:tcPr>
          <w:p>
            <w:pPr>
              <w:pStyle w:val="Normal"/>
              <w:tabs>
                <w:tab w:val="clear" w:pos="709"/>
              </w:tabs>
              <w:jc w:val="center"/>
              <w:rPr>
                <w:sz w:val="18"/>
                <w:szCs w:val="18"/>
              </w:rPr>
            </w:pPr>
            <w:r>
              <w:rPr>
                <w:b/>
                <w:sz w:val="18"/>
                <w:szCs w:val="18"/>
              </w:rPr>
              <w:t xml:space="preserve">12.268,43     </w:t>
            </w:r>
          </w:p>
        </w:tc>
      </w:tr>
      <w:tr>
        <w:trPr>
          <w:trHeight w:val="256" w:hRule="atLeast"/>
        </w:trPr>
        <w:tc>
          <w:tcPr>
            <w:tcW w:w="8497" w:type="dxa"/>
            <w:gridSpan w:val="3"/>
            <w:tcBorders/>
            <w:tcMar>
              <w:top w:w="0" w:type="dxa"/>
              <w:left w:w="30" w:type="dxa"/>
              <w:bottom w:w="0" w:type="dxa"/>
              <w:right w:w="30" w:type="dxa"/>
            </w:tcMar>
            <w:vAlign w:val="bottom"/>
          </w:tcPr>
          <w:p>
            <w:pPr>
              <w:pStyle w:val="Normal"/>
              <w:tabs>
                <w:tab w:val="clear" w:pos="709"/>
              </w:tabs>
              <w:jc w:val="center"/>
              <w:rPr>
                <w:b/>
              </w:rPr>
            </w:pPr>
            <w:r>
              <w:rPr>
                <w:b/>
              </w:rPr>
            </w:r>
          </w:p>
        </w:tc>
      </w:tr>
      <w:tr>
        <w:trPr>
          <w:trHeight w:val="463" w:hRule="atLeast"/>
        </w:trPr>
        <w:tc>
          <w:tcPr>
            <w:tcW w:w="1448" w:type="dxa"/>
            <w:tcBorders>
              <w:top w:val="single" w:sz="4" w:space="0" w:color="000000"/>
              <w:left w:val="single" w:sz="4" w:space="0" w:color="000000"/>
              <w:bottom w:val="single" w:sz="4" w:space="0" w:color="000000"/>
            </w:tcBorders>
            <w:vAlign w:val="center"/>
          </w:tcPr>
          <w:p>
            <w:pPr>
              <w:pStyle w:val="Normal"/>
              <w:tabs>
                <w:tab w:val="clear" w:pos="709"/>
              </w:tabs>
              <w:jc w:val="center"/>
              <w:rPr>
                <w:sz w:val="18"/>
                <w:szCs w:val="18"/>
              </w:rPr>
            </w:pPr>
            <w:r>
              <w:rPr>
                <w:b/>
                <w:sz w:val="18"/>
                <w:szCs w:val="18"/>
              </w:rPr>
              <w:t>Broj predmeta</w:t>
            </w:r>
          </w:p>
        </w:tc>
        <w:tc>
          <w:tcPr>
            <w:tcW w:w="5618" w:type="dxa"/>
            <w:tcBorders>
              <w:top w:val="single" w:sz="4" w:space="0" w:color="000000"/>
              <w:left w:val="single" w:sz="4" w:space="0" w:color="000000"/>
              <w:bottom w:val="single" w:sz="4" w:space="0" w:color="000000"/>
            </w:tcBorders>
            <w:vAlign w:val="center"/>
          </w:tcPr>
          <w:p>
            <w:pPr>
              <w:pStyle w:val="Normal"/>
              <w:tabs>
                <w:tab w:val="clear" w:pos="709"/>
              </w:tabs>
              <w:jc w:val="center"/>
              <w:rPr>
                <w:sz w:val="18"/>
                <w:szCs w:val="18"/>
              </w:rPr>
            </w:pPr>
            <w:r>
              <w:rPr>
                <w:b/>
                <w:sz w:val="18"/>
                <w:szCs w:val="18"/>
              </w:rPr>
              <w:t>Opis prirode spora</w:t>
            </w:r>
          </w:p>
        </w:tc>
        <w:tc>
          <w:tcPr>
            <w:tcW w:w="14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s>
              <w:jc w:val="center"/>
              <w:rPr>
                <w:sz w:val="18"/>
                <w:szCs w:val="18"/>
              </w:rPr>
            </w:pPr>
            <w:r>
              <w:rPr>
                <w:b/>
                <w:sz w:val="18"/>
                <w:szCs w:val="18"/>
              </w:rPr>
              <w:t xml:space="preserve">Procjena </w:t>
              <w:br/>
              <w:t>Fin. učinka</w:t>
            </w:r>
          </w:p>
        </w:tc>
      </w:tr>
      <w:tr>
        <w:trPr>
          <w:trHeight w:val="567" w:hRule="atLeast"/>
        </w:trPr>
        <w:tc>
          <w:tcPr>
            <w:tcW w:w="1448" w:type="dxa"/>
            <w:tcBorders>
              <w:left w:val="single" w:sz="4" w:space="0" w:color="000000"/>
              <w:bottom w:val="single" w:sz="4" w:space="0" w:color="000000"/>
            </w:tcBorders>
            <w:vAlign w:val="center"/>
          </w:tcPr>
          <w:p>
            <w:pPr>
              <w:pStyle w:val="Normal"/>
              <w:tabs>
                <w:tab w:val="clear" w:pos="709"/>
              </w:tabs>
              <w:jc w:val="left"/>
              <w:rPr>
                <w:sz w:val="18"/>
                <w:szCs w:val="18"/>
              </w:rPr>
            </w:pPr>
            <w:r>
              <w:rPr>
                <w:sz w:val="18"/>
                <w:szCs w:val="18"/>
              </w:rPr>
              <w:t>-Povrv-44/19</w:t>
              <w:br/>
              <w:t>-Pž-6964/19</w:t>
            </w:r>
          </w:p>
        </w:tc>
        <w:tc>
          <w:tcPr>
            <w:tcW w:w="5618"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Ovrha zbog nepodmirenih obveza prema dobavljaču</w:t>
            </w:r>
          </w:p>
        </w:tc>
        <w:tc>
          <w:tcPr>
            <w:tcW w:w="1431" w:type="dxa"/>
            <w:tcBorders>
              <w:left w:val="single" w:sz="4" w:space="0" w:color="000000"/>
              <w:bottom w:val="single" w:sz="4" w:space="0" w:color="000000"/>
              <w:right w:val="single" w:sz="4" w:space="0" w:color="000000"/>
            </w:tcBorders>
            <w:vAlign w:val="center"/>
          </w:tcPr>
          <w:p>
            <w:pPr>
              <w:pStyle w:val="Normal"/>
              <w:tabs>
                <w:tab w:val="clear" w:pos="709"/>
              </w:tabs>
              <w:jc w:val="center"/>
              <w:rPr>
                <w:sz w:val="18"/>
                <w:szCs w:val="18"/>
              </w:rPr>
            </w:pPr>
            <w:r>
              <w:rPr>
                <w:sz w:val="18"/>
                <w:szCs w:val="18"/>
              </w:rPr>
              <w:t>459,42</w:t>
            </w:r>
          </w:p>
        </w:tc>
      </w:tr>
      <w:tr>
        <w:trPr>
          <w:trHeight w:val="567" w:hRule="atLeast"/>
        </w:trPr>
        <w:tc>
          <w:tcPr>
            <w:tcW w:w="1448" w:type="dxa"/>
            <w:tcBorders>
              <w:left w:val="single" w:sz="4" w:space="0" w:color="000000"/>
              <w:bottom w:val="single" w:sz="4" w:space="0" w:color="000000"/>
            </w:tcBorders>
            <w:vAlign w:val="center"/>
          </w:tcPr>
          <w:p>
            <w:pPr>
              <w:pStyle w:val="Normal"/>
              <w:tabs>
                <w:tab w:val="clear" w:pos="709"/>
              </w:tabs>
              <w:jc w:val="left"/>
              <w:rPr>
                <w:sz w:val="18"/>
                <w:szCs w:val="18"/>
              </w:rPr>
            </w:pPr>
            <w:r>
              <w:rPr>
                <w:sz w:val="18"/>
                <w:szCs w:val="18"/>
              </w:rPr>
              <w:t>-Povrv-45/19</w:t>
              <w:br/>
              <w:t>-Pž-6965/19</w:t>
            </w:r>
          </w:p>
        </w:tc>
        <w:tc>
          <w:tcPr>
            <w:tcW w:w="5618"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Ovrha zbog nepodmirenih obveza prema dobavljaču</w:t>
            </w:r>
          </w:p>
        </w:tc>
        <w:tc>
          <w:tcPr>
            <w:tcW w:w="1431" w:type="dxa"/>
            <w:tcBorders>
              <w:left w:val="single" w:sz="4" w:space="0" w:color="000000"/>
              <w:bottom w:val="single" w:sz="4" w:space="0" w:color="000000"/>
              <w:right w:val="single" w:sz="4" w:space="0" w:color="000000"/>
            </w:tcBorders>
            <w:vAlign w:val="center"/>
          </w:tcPr>
          <w:p>
            <w:pPr>
              <w:pStyle w:val="Normal"/>
              <w:tabs>
                <w:tab w:val="clear" w:pos="709"/>
              </w:tabs>
              <w:jc w:val="center"/>
              <w:rPr>
                <w:sz w:val="18"/>
                <w:szCs w:val="18"/>
              </w:rPr>
            </w:pPr>
            <w:r>
              <w:rPr>
                <w:sz w:val="18"/>
                <w:szCs w:val="18"/>
              </w:rPr>
              <w:t>459,42</w:t>
            </w:r>
          </w:p>
        </w:tc>
      </w:tr>
      <w:tr>
        <w:trPr>
          <w:trHeight w:val="567" w:hRule="atLeast"/>
        </w:trPr>
        <w:tc>
          <w:tcPr>
            <w:tcW w:w="1448" w:type="dxa"/>
            <w:tcBorders>
              <w:left w:val="single" w:sz="4" w:space="0" w:color="000000"/>
              <w:bottom w:val="single" w:sz="4" w:space="0" w:color="000000"/>
            </w:tcBorders>
            <w:vAlign w:val="center"/>
          </w:tcPr>
          <w:p>
            <w:pPr>
              <w:pStyle w:val="Normal"/>
              <w:tabs>
                <w:tab w:val="clear" w:pos="709"/>
              </w:tabs>
              <w:jc w:val="left"/>
              <w:rPr>
                <w:sz w:val="18"/>
                <w:szCs w:val="18"/>
              </w:rPr>
            </w:pPr>
            <w:r>
              <w:rPr>
                <w:sz w:val="18"/>
                <w:szCs w:val="18"/>
              </w:rPr>
              <w:t>-Povrv-46/19</w:t>
              <w:br/>
              <w:t>-Pž-6966/19</w:t>
            </w:r>
          </w:p>
        </w:tc>
        <w:tc>
          <w:tcPr>
            <w:tcW w:w="5618"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Ovrha zbog nepodmirenih obveza prema dobavljaču</w:t>
            </w:r>
          </w:p>
        </w:tc>
        <w:tc>
          <w:tcPr>
            <w:tcW w:w="1431" w:type="dxa"/>
            <w:tcBorders>
              <w:left w:val="single" w:sz="4" w:space="0" w:color="000000"/>
              <w:bottom w:val="single" w:sz="4" w:space="0" w:color="000000"/>
              <w:right w:val="single" w:sz="4" w:space="0" w:color="000000"/>
            </w:tcBorders>
            <w:vAlign w:val="center"/>
          </w:tcPr>
          <w:p>
            <w:pPr>
              <w:pStyle w:val="Normal"/>
              <w:tabs>
                <w:tab w:val="clear" w:pos="709"/>
              </w:tabs>
              <w:jc w:val="center"/>
              <w:rPr>
                <w:sz w:val="18"/>
                <w:szCs w:val="18"/>
              </w:rPr>
            </w:pPr>
            <w:r>
              <w:rPr>
                <w:sz w:val="18"/>
                <w:szCs w:val="18"/>
              </w:rPr>
              <w:t>459,42</w:t>
            </w:r>
          </w:p>
        </w:tc>
      </w:tr>
      <w:tr>
        <w:trPr>
          <w:trHeight w:val="567" w:hRule="atLeast"/>
        </w:trPr>
        <w:tc>
          <w:tcPr>
            <w:tcW w:w="1448" w:type="dxa"/>
            <w:tcBorders>
              <w:left w:val="single" w:sz="4" w:space="0" w:color="000000"/>
              <w:bottom w:val="single" w:sz="4" w:space="0" w:color="000000"/>
            </w:tcBorders>
            <w:vAlign w:val="center"/>
          </w:tcPr>
          <w:p>
            <w:pPr>
              <w:pStyle w:val="Normal"/>
              <w:tabs>
                <w:tab w:val="clear" w:pos="709"/>
              </w:tabs>
              <w:jc w:val="left"/>
              <w:rPr>
                <w:sz w:val="18"/>
                <w:szCs w:val="18"/>
              </w:rPr>
            </w:pPr>
            <w:r>
              <w:rPr>
                <w:sz w:val="18"/>
                <w:szCs w:val="18"/>
              </w:rPr>
              <w:t>-Povrv-47/19</w:t>
              <w:br/>
              <w:t>-Pž-6967/19</w:t>
            </w:r>
          </w:p>
        </w:tc>
        <w:tc>
          <w:tcPr>
            <w:tcW w:w="5618"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Ovrha zbog nepodmirenih obveza prema dobavljaču</w:t>
            </w:r>
          </w:p>
        </w:tc>
        <w:tc>
          <w:tcPr>
            <w:tcW w:w="1431" w:type="dxa"/>
            <w:tcBorders>
              <w:left w:val="single" w:sz="4" w:space="0" w:color="000000"/>
              <w:bottom w:val="single" w:sz="4" w:space="0" w:color="000000"/>
              <w:right w:val="single" w:sz="4" w:space="0" w:color="000000"/>
            </w:tcBorders>
            <w:vAlign w:val="center"/>
          </w:tcPr>
          <w:p>
            <w:pPr>
              <w:pStyle w:val="Normal"/>
              <w:tabs>
                <w:tab w:val="clear" w:pos="709"/>
              </w:tabs>
              <w:jc w:val="center"/>
              <w:rPr>
                <w:sz w:val="18"/>
                <w:szCs w:val="18"/>
              </w:rPr>
            </w:pPr>
            <w:r>
              <w:rPr>
                <w:sz w:val="18"/>
                <w:szCs w:val="18"/>
              </w:rPr>
              <w:t>459,42</w:t>
            </w:r>
          </w:p>
        </w:tc>
      </w:tr>
      <w:tr>
        <w:trPr>
          <w:trHeight w:val="567" w:hRule="atLeast"/>
        </w:trPr>
        <w:tc>
          <w:tcPr>
            <w:tcW w:w="1448" w:type="dxa"/>
            <w:tcBorders>
              <w:left w:val="single" w:sz="4" w:space="0" w:color="000000"/>
              <w:bottom w:val="single" w:sz="4" w:space="0" w:color="000000"/>
            </w:tcBorders>
            <w:vAlign w:val="center"/>
          </w:tcPr>
          <w:p>
            <w:pPr>
              <w:pStyle w:val="Normal"/>
              <w:tabs>
                <w:tab w:val="clear" w:pos="709"/>
              </w:tabs>
              <w:jc w:val="left"/>
              <w:rPr>
                <w:sz w:val="18"/>
                <w:szCs w:val="18"/>
              </w:rPr>
            </w:pPr>
            <w:r>
              <w:rPr>
                <w:sz w:val="18"/>
                <w:szCs w:val="18"/>
              </w:rPr>
              <w:t>-Povrv-48/19</w:t>
              <w:br/>
              <w:t>-Pž-6968/19</w:t>
            </w:r>
          </w:p>
        </w:tc>
        <w:tc>
          <w:tcPr>
            <w:tcW w:w="5618"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Ovrha zbog nepodmirenih obveza prema dobavljaču</w:t>
            </w:r>
          </w:p>
        </w:tc>
        <w:tc>
          <w:tcPr>
            <w:tcW w:w="1431" w:type="dxa"/>
            <w:tcBorders>
              <w:left w:val="single" w:sz="4" w:space="0" w:color="000000"/>
              <w:bottom w:val="single" w:sz="4" w:space="0" w:color="000000"/>
              <w:right w:val="single" w:sz="4" w:space="0" w:color="000000"/>
            </w:tcBorders>
            <w:vAlign w:val="center"/>
          </w:tcPr>
          <w:p>
            <w:pPr>
              <w:pStyle w:val="Normal"/>
              <w:tabs>
                <w:tab w:val="clear" w:pos="709"/>
              </w:tabs>
              <w:jc w:val="center"/>
              <w:rPr>
                <w:sz w:val="18"/>
                <w:szCs w:val="18"/>
              </w:rPr>
            </w:pPr>
            <w:r>
              <w:rPr>
                <w:sz w:val="18"/>
                <w:szCs w:val="18"/>
              </w:rPr>
              <w:t>459,42</w:t>
            </w:r>
          </w:p>
        </w:tc>
      </w:tr>
      <w:tr>
        <w:trPr>
          <w:trHeight w:val="567" w:hRule="atLeast"/>
        </w:trPr>
        <w:tc>
          <w:tcPr>
            <w:tcW w:w="1448" w:type="dxa"/>
            <w:tcBorders>
              <w:left w:val="single" w:sz="4" w:space="0" w:color="000000"/>
              <w:bottom w:val="single" w:sz="4" w:space="0" w:color="000000"/>
            </w:tcBorders>
            <w:vAlign w:val="center"/>
          </w:tcPr>
          <w:p>
            <w:pPr>
              <w:pStyle w:val="Normal"/>
              <w:tabs>
                <w:tab w:val="clear" w:pos="709"/>
              </w:tabs>
              <w:jc w:val="left"/>
              <w:rPr>
                <w:sz w:val="18"/>
                <w:szCs w:val="18"/>
              </w:rPr>
            </w:pPr>
            <w:r>
              <w:rPr>
                <w:sz w:val="18"/>
                <w:szCs w:val="18"/>
              </w:rPr>
              <w:t>-Povrv-49/19</w:t>
              <w:br/>
              <w:t>-Pž-6969/19</w:t>
            </w:r>
          </w:p>
        </w:tc>
        <w:tc>
          <w:tcPr>
            <w:tcW w:w="5618"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Ovrha zbog nepodmirenih obveza prema dobavljaču</w:t>
            </w:r>
          </w:p>
        </w:tc>
        <w:tc>
          <w:tcPr>
            <w:tcW w:w="1431" w:type="dxa"/>
            <w:tcBorders>
              <w:left w:val="single" w:sz="4" w:space="0" w:color="000000"/>
              <w:bottom w:val="single" w:sz="4" w:space="0" w:color="000000"/>
              <w:right w:val="single" w:sz="4" w:space="0" w:color="000000"/>
            </w:tcBorders>
            <w:vAlign w:val="center"/>
          </w:tcPr>
          <w:p>
            <w:pPr>
              <w:pStyle w:val="Normal"/>
              <w:tabs>
                <w:tab w:val="clear" w:pos="709"/>
              </w:tabs>
              <w:jc w:val="center"/>
              <w:rPr>
                <w:sz w:val="18"/>
                <w:szCs w:val="18"/>
              </w:rPr>
            </w:pPr>
            <w:r>
              <w:rPr>
                <w:sz w:val="18"/>
                <w:szCs w:val="18"/>
              </w:rPr>
              <w:t>459,42</w:t>
            </w:r>
          </w:p>
        </w:tc>
      </w:tr>
      <w:tr>
        <w:trPr>
          <w:trHeight w:val="567" w:hRule="atLeast"/>
        </w:trPr>
        <w:tc>
          <w:tcPr>
            <w:tcW w:w="1448" w:type="dxa"/>
            <w:tcBorders>
              <w:left w:val="single" w:sz="4" w:space="0" w:color="000000"/>
              <w:bottom w:val="single" w:sz="4" w:space="0" w:color="000000"/>
            </w:tcBorders>
            <w:vAlign w:val="center"/>
          </w:tcPr>
          <w:p>
            <w:pPr>
              <w:pStyle w:val="Normal"/>
              <w:tabs>
                <w:tab w:val="clear" w:pos="709"/>
              </w:tabs>
              <w:jc w:val="left"/>
              <w:rPr>
                <w:sz w:val="18"/>
                <w:szCs w:val="18"/>
              </w:rPr>
            </w:pPr>
            <w:r>
              <w:rPr>
                <w:sz w:val="18"/>
                <w:szCs w:val="18"/>
              </w:rPr>
              <w:t>-Povrv-50/19</w:t>
              <w:br/>
              <w:t>-Pž-6970/19</w:t>
            </w:r>
          </w:p>
        </w:tc>
        <w:tc>
          <w:tcPr>
            <w:tcW w:w="5618"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Ovrha zbog nepodmirenih obveza prema dobavljaču</w:t>
            </w:r>
          </w:p>
        </w:tc>
        <w:tc>
          <w:tcPr>
            <w:tcW w:w="1431" w:type="dxa"/>
            <w:tcBorders>
              <w:left w:val="single" w:sz="4" w:space="0" w:color="000000"/>
              <w:bottom w:val="single" w:sz="4" w:space="0" w:color="000000"/>
              <w:right w:val="single" w:sz="4" w:space="0" w:color="000000"/>
            </w:tcBorders>
            <w:vAlign w:val="center"/>
          </w:tcPr>
          <w:p>
            <w:pPr>
              <w:pStyle w:val="Normal"/>
              <w:tabs>
                <w:tab w:val="clear" w:pos="709"/>
              </w:tabs>
              <w:jc w:val="center"/>
              <w:rPr>
                <w:sz w:val="18"/>
                <w:szCs w:val="18"/>
              </w:rPr>
            </w:pPr>
            <w:r>
              <w:rPr>
                <w:sz w:val="18"/>
                <w:szCs w:val="18"/>
              </w:rPr>
              <w:t>459,42</w:t>
            </w:r>
          </w:p>
        </w:tc>
      </w:tr>
      <w:tr>
        <w:trPr>
          <w:trHeight w:val="567" w:hRule="atLeast"/>
        </w:trPr>
        <w:tc>
          <w:tcPr>
            <w:tcW w:w="1448" w:type="dxa"/>
            <w:tcBorders>
              <w:left w:val="single" w:sz="4" w:space="0" w:color="000000"/>
              <w:bottom w:val="single" w:sz="4" w:space="0" w:color="000000"/>
            </w:tcBorders>
            <w:vAlign w:val="center"/>
          </w:tcPr>
          <w:p>
            <w:pPr>
              <w:pStyle w:val="Normal"/>
              <w:tabs>
                <w:tab w:val="clear" w:pos="709"/>
              </w:tabs>
              <w:jc w:val="left"/>
              <w:rPr>
                <w:sz w:val="18"/>
                <w:szCs w:val="18"/>
              </w:rPr>
            </w:pPr>
            <w:r>
              <w:rPr>
                <w:sz w:val="18"/>
                <w:szCs w:val="18"/>
              </w:rPr>
              <w:t>-Povrv-51/19</w:t>
              <w:br/>
              <w:t>-Pž-6971/19</w:t>
            </w:r>
          </w:p>
        </w:tc>
        <w:tc>
          <w:tcPr>
            <w:tcW w:w="5618"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Ovrha zbog nepodmirenih obveza prema dobavljaču</w:t>
            </w:r>
          </w:p>
        </w:tc>
        <w:tc>
          <w:tcPr>
            <w:tcW w:w="1431" w:type="dxa"/>
            <w:tcBorders>
              <w:left w:val="single" w:sz="4" w:space="0" w:color="000000"/>
              <w:bottom w:val="single" w:sz="4" w:space="0" w:color="000000"/>
              <w:right w:val="single" w:sz="4" w:space="0" w:color="000000"/>
            </w:tcBorders>
            <w:vAlign w:val="center"/>
          </w:tcPr>
          <w:p>
            <w:pPr>
              <w:pStyle w:val="Normal"/>
              <w:tabs>
                <w:tab w:val="clear" w:pos="709"/>
              </w:tabs>
              <w:jc w:val="center"/>
              <w:rPr>
                <w:sz w:val="18"/>
                <w:szCs w:val="18"/>
              </w:rPr>
            </w:pPr>
            <w:r>
              <w:rPr>
                <w:sz w:val="18"/>
                <w:szCs w:val="18"/>
              </w:rPr>
              <w:t>459,42</w:t>
            </w:r>
          </w:p>
        </w:tc>
      </w:tr>
      <w:tr>
        <w:trPr>
          <w:trHeight w:val="567" w:hRule="atLeast"/>
        </w:trPr>
        <w:tc>
          <w:tcPr>
            <w:tcW w:w="1448" w:type="dxa"/>
            <w:tcBorders>
              <w:left w:val="single" w:sz="4" w:space="0" w:color="000000"/>
              <w:bottom w:val="single" w:sz="4" w:space="0" w:color="000000"/>
            </w:tcBorders>
            <w:vAlign w:val="center"/>
          </w:tcPr>
          <w:p>
            <w:pPr>
              <w:pStyle w:val="Normal"/>
              <w:tabs>
                <w:tab w:val="clear" w:pos="709"/>
              </w:tabs>
              <w:jc w:val="left"/>
              <w:rPr>
                <w:sz w:val="18"/>
                <w:szCs w:val="18"/>
              </w:rPr>
            </w:pPr>
            <w:r>
              <w:rPr>
                <w:sz w:val="18"/>
                <w:szCs w:val="18"/>
              </w:rPr>
              <w:t>-Povrv-52/19</w:t>
              <w:br/>
              <w:t>-Pž-6972/19</w:t>
            </w:r>
          </w:p>
        </w:tc>
        <w:tc>
          <w:tcPr>
            <w:tcW w:w="5618"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Ovrha zbog nepodmirenih obveza prema dobavljaču</w:t>
            </w:r>
          </w:p>
        </w:tc>
        <w:tc>
          <w:tcPr>
            <w:tcW w:w="1431" w:type="dxa"/>
            <w:tcBorders>
              <w:left w:val="single" w:sz="4" w:space="0" w:color="000000"/>
              <w:bottom w:val="single" w:sz="4" w:space="0" w:color="000000"/>
              <w:right w:val="single" w:sz="4" w:space="0" w:color="000000"/>
            </w:tcBorders>
            <w:vAlign w:val="center"/>
          </w:tcPr>
          <w:p>
            <w:pPr>
              <w:pStyle w:val="Normal"/>
              <w:tabs>
                <w:tab w:val="clear" w:pos="709"/>
              </w:tabs>
              <w:jc w:val="center"/>
              <w:rPr>
                <w:sz w:val="18"/>
                <w:szCs w:val="18"/>
              </w:rPr>
            </w:pPr>
            <w:r>
              <w:rPr>
                <w:sz w:val="18"/>
                <w:szCs w:val="18"/>
              </w:rPr>
              <w:t>459,42</w:t>
            </w:r>
          </w:p>
        </w:tc>
      </w:tr>
      <w:tr>
        <w:trPr>
          <w:trHeight w:val="567" w:hRule="atLeast"/>
        </w:trPr>
        <w:tc>
          <w:tcPr>
            <w:tcW w:w="1448" w:type="dxa"/>
            <w:tcBorders>
              <w:left w:val="single" w:sz="4" w:space="0" w:color="000000"/>
              <w:bottom w:val="single" w:sz="4" w:space="0" w:color="000000"/>
            </w:tcBorders>
            <w:vAlign w:val="center"/>
          </w:tcPr>
          <w:p>
            <w:pPr>
              <w:pStyle w:val="Normal"/>
              <w:tabs>
                <w:tab w:val="clear" w:pos="709"/>
              </w:tabs>
              <w:jc w:val="left"/>
              <w:rPr>
                <w:sz w:val="18"/>
                <w:szCs w:val="18"/>
              </w:rPr>
            </w:pPr>
            <w:r>
              <w:rPr>
                <w:sz w:val="18"/>
                <w:szCs w:val="18"/>
              </w:rPr>
              <w:t>-Povrv-55/19</w:t>
              <w:br/>
              <w:t>-Pž-6973/19</w:t>
            </w:r>
          </w:p>
        </w:tc>
        <w:tc>
          <w:tcPr>
            <w:tcW w:w="5618"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Ovrha zbog nepodmirenih obveza prema dobavljaču</w:t>
            </w:r>
          </w:p>
        </w:tc>
        <w:tc>
          <w:tcPr>
            <w:tcW w:w="1431" w:type="dxa"/>
            <w:tcBorders>
              <w:left w:val="single" w:sz="4" w:space="0" w:color="000000"/>
              <w:bottom w:val="single" w:sz="4" w:space="0" w:color="000000"/>
              <w:right w:val="single" w:sz="4" w:space="0" w:color="000000"/>
            </w:tcBorders>
            <w:vAlign w:val="center"/>
          </w:tcPr>
          <w:p>
            <w:pPr>
              <w:pStyle w:val="Normal"/>
              <w:tabs>
                <w:tab w:val="clear" w:pos="709"/>
              </w:tabs>
              <w:jc w:val="center"/>
              <w:rPr>
                <w:sz w:val="18"/>
                <w:szCs w:val="18"/>
              </w:rPr>
            </w:pPr>
            <w:r>
              <w:rPr>
                <w:sz w:val="18"/>
                <w:szCs w:val="18"/>
              </w:rPr>
              <w:t>459,42</w:t>
            </w:r>
          </w:p>
        </w:tc>
      </w:tr>
      <w:tr>
        <w:trPr>
          <w:trHeight w:val="567" w:hRule="atLeast"/>
        </w:trPr>
        <w:tc>
          <w:tcPr>
            <w:tcW w:w="1448" w:type="dxa"/>
            <w:tcBorders>
              <w:left w:val="single" w:sz="4" w:space="0" w:color="000000"/>
              <w:bottom w:val="single" w:sz="4" w:space="0" w:color="000000"/>
            </w:tcBorders>
            <w:vAlign w:val="center"/>
          </w:tcPr>
          <w:p>
            <w:pPr>
              <w:pStyle w:val="Normal"/>
              <w:tabs>
                <w:tab w:val="clear" w:pos="709"/>
              </w:tabs>
              <w:jc w:val="left"/>
              <w:rPr>
                <w:sz w:val="18"/>
                <w:szCs w:val="18"/>
              </w:rPr>
            </w:pPr>
            <w:r>
              <w:rPr>
                <w:sz w:val="18"/>
                <w:szCs w:val="18"/>
              </w:rPr>
              <w:t>-Povrv-56/19</w:t>
              <w:br/>
              <w:t>-Pž-6974/19</w:t>
            </w:r>
          </w:p>
        </w:tc>
        <w:tc>
          <w:tcPr>
            <w:tcW w:w="5618"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Ovrha zbog nepodmirenih obveza prema dobavljaču</w:t>
            </w:r>
          </w:p>
        </w:tc>
        <w:tc>
          <w:tcPr>
            <w:tcW w:w="1431" w:type="dxa"/>
            <w:tcBorders>
              <w:left w:val="single" w:sz="4" w:space="0" w:color="000000"/>
              <w:bottom w:val="single" w:sz="4" w:space="0" w:color="000000"/>
              <w:right w:val="single" w:sz="4" w:space="0" w:color="000000"/>
            </w:tcBorders>
            <w:vAlign w:val="center"/>
          </w:tcPr>
          <w:p>
            <w:pPr>
              <w:pStyle w:val="Normal"/>
              <w:tabs>
                <w:tab w:val="clear" w:pos="709"/>
              </w:tabs>
              <w:jc w:val="center"/>
              <w:rPr>
                <w:sz w:val="18"/>
                <w:szCs w:val="18"/>
              </w:rPr>
            </w:pPr>
            <w:r>
              <w:rPr>
                <w:sz w:val="18"/>
                <w:szCs w:val="18"/>
              </w:rPr>
              <w:t>459,42</w:t>
            </w:r>
          </w:p>
        </w:tc>
      </w:tr>
      <w:tr>
        <w:trPr>
          <w:trHeight w:val="422" w:hRule="atLeast"/>
        </w:trPr>
        <w:tc>
          <w:tcPr>
            <w:tcW w:w="1448" w:type="dxa"/>
            <w:tcBorders>
              <w:left w:val="single" w:sz="4" w:space="0" w:color="000000"/>
              <w:bottom w:val="single" w:sz="4" w:space="0" w:color="000000"/>
            </w:tcBorders>
            <w:vAlign w:val="center"/>
          </w:tcPr>
          <w:p>
            <w:pPr>
              <w:pStyle w:val="Normal"/>
              <w:tabs>
                <w:tab w:val="clear" w:pos="709"/>
              </w:tabs>
              <w:jc w:val="left"/>
              <w:rPr>
                <w:sz w:val="18"/>
                <w:szCs w:val="18"/>
              </w:rPr>
            </w:pPr>
            <w:r>
              <w:rPr>
                <w:sz w:val="18"/>
                <w:szCs w:val="18"/>
              </w:rPr>
              <w:t>-Povrv-56/19</w:t>
            </w:r>
          </w:p>
        </w:tc>
        <w:tc>
          <w:tcPr>
            <w:tcW w:w="5618"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Ovrha zbog nepodmirenih obveza prema dobavljaču</w:t>
            </w:r>
          </w:p>
        </w:tc>
        <w:tc>
          <w:tcPr>
            <w:tcW w:w="1431" w:type="dxa"/>
            <w:tcBorders>
              <w:left w:val="single" w:sz="4" w:space="0" w:color="000000"/>
              <w:bottom w:val="single" w:sz="4" w:space="0" w:color="000000"/>
              <w:right w:val="single" w:sz="4" w:space="0" w:color="000000"/>
            </w:tcBorders>
            <w:vAlign w:val="center"/>
          </w:tcPr>
          <w:p>
            <w:pPr>
              <w:pStyle w:val="Normal"/>
              <w:tabs>
                <w:tab w:val="clear" w:pos="709"/>
              </w:tabs>
              <w:jc w:val="center"/>
              <w:rPr>
                <w:sz w:val="18"/>
                <w:szCs w:val="18"/>
              </w:rPr>
            </w:pPr>
            <w:r>
              <w:rPr>
                <w:sz w:val="18"/>
                <w:szCs w:val="18"/>
              </w:rPr>
              <w:t>793,15</w:t>
            </w:r>
          </w:p>
        </w:tc>
      </w:tr>
      <w:tr>
        <w:trPr>
          <w:trHeight w:val="422" w:hRule="atLeast"/>
        </w:trPr>
        <w:tc>
          <w:tcPr>
            <w:tcW w:w="1448" w:type="dxa"/>
            <w:tcBorders>
              <w:left w:val="single" w:sz="4" w:space="0" w:color="000000"/>
              <w:bottom w:val="single" w:sz="4" w:space="0" w:color="000000"/>
            </w:tcBorders>
            <w:vAlign w:val="center"/>
          </w:tcPr>
          <w:p>
            <w:pPr>
              <w:pStyle w:val="Normal"/>
              <w:tabs>
                <w:tab w:val="clear" w:pos="709"/>
              </w:tabs>
              <w:jc w:val="left"/>
              <w:rPr>
                <w:sz w:val="18"/>
                <w:szCs w:val="18"/>
              </w:rPr>
            </w:pPr>
            <w:r>
              <w:rPr>
                <w:sz w:val="18"/>
                <w:szCs w:val="18"/>
              </w:rPr>
              <w:t>-Povrv-56/19</w:t>
            </w:r>
          </w:p>
        </w:tc>
        <w:tc>
          <w:tcPr>
            <w:tcW w:w="5618"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Ovrha zbog nepodmirenih obveza prema dobavljaču</w:t>
            </w:r>
          </w:p>
        </w:tc>
        <w:tc>
          <w:tcPr>
            <w:tcW w:w="1431" w:type="dxa"/>
            <w:tcBorders>
              <w:left w:val="single" w:sz="4" w:space="0" w:color="000000"/>
              <w:bottom w:val="single" w:sz="4" w:space="0" w:color="000000"/>
              <w:right w:val="single" w:sz="4" w:space="0" w:color="000000"/>
            </w:tcBorders>
            <w:vAlign w:val="center"/>
          </w:tcPr>
          <w:p>
            <w:pPr>
              <w:pStyle w:val="Normal"/>
              <w:tabs>
                <w:tab w:val="clear" w:pos="709"/>
              </w:tabs>
              <w:jc w:val="center"/>
              <w:rPr>
                <w:sz w:val="18"/>
                <w:szCs w:val="18"/>
              </w:rPr>
            </w:pPr>
            <w:r>
              <w:rPr>
                <w:sz w:val="18"/>
                <w:szCs w:val="18"/>
              </w:rPr>
              <w:t>695,17</w:t>
            </w:r>
          </w:p>
        </w:tc>
      </w:tr>
      <w:tr>
        <w:trPr>
          <w:trHeight w:val="256" w:hRule="atLeast"/>
        </w:trPr>
        <w:tc>
          <w:tcPr>
            <w:tcW w:w="1448" w:type="dxa"/>
            <w:tcBorders>
              <w:left w:val="single" w:sz="4" w:space="0" w:color="000000"/>
              <w:bottom w:val="single" w:sz="4" w:space="0" w:color="000000"/>
            </w:tcBorders>
            <w:vAlign w:val="bottom"/>
          </w:tcPr>
          <w:p>
            <w:pPr>
              <w:pStyle w:val="Normal"/>
              <w:tabs>
                <w:tab w:val="clear" w:pos="709"/>
              </w:tabs>
              <w:jc w:val="center"/>
              <w:rPr>
                <w:sz w:val="18"/>
                <w:szCs w:val="18"/>
              </w:rPr>
            </w:pPr>
            <w:r>
              <w:rPr>
                <w:b/>
                <w:sz w:val="18"/>
                <w:szCs w:val="18"/>
              </w:rPr>
              <w:t>UKUPNO:</w:t>
            </w:r>
          </w:p>
        </w:tc>
        <w:tc>
          <w:tcPr>
            <w:tcW w:w="5618" w:type="dxa"/>
            <w:tcBorders>
              <w:left w:val="single" w:sz="4" w:space="0" w:color="000000"/>
              <w:bottom w:val="single" w:sz="4" w:space="0" w:color="000000"/>
            </w:tcBorders>
            <w:vAlign w:val="center"/>
          </w:tcPr>
          <w:p>
            <w:pPr>
              <w:pStyle w:val="Normal"/>
              <w:tabs>
                <w:tab w:val="clear" w:pos="709"/>
              </w:tabs>
              <w:jc w:val="center"/>
              <w:rPr>
                <w:b/>
                <w:sz w:val="18"/>
                <w:szCs w:val="18"/>
              </w:rPr>
            </w:pPr>
            <w:r>
              <w:rPr>
                <w:b/>
                <w:sz w:val="18"/>
                <w:szCs w:val="18"/>
              </w:rPr>
            </w:r>
          </w:p>
        </w:tc>
        <w:tc>
          <w:tcPr>
            <w:tcW w:w="1431" w:type="dxa"/>
            <w:tcBorders>
              <w:left w:val="single" w:sz="4" w:space="0" w:color="000000"/>
              <w:bottom w:val="single" w:sz="4" w:space="0" w:color="000000"/>
              <w:right w:val="single" w:sz="4" w:space="0" w:color="000000"/>
            </w:tcBorders>
            <w:vAlign w:val="center"/>
          </w:tcPr>
          <w:p>
            <w:pPr>
              <w:pStyle w:val="Normal"/>
              <w:tabs>
                <w:tab w:val="clear" w:pos="709"/>
              </w:tabs>
              <w:jc w:val="center"/>
              <w:rPr>
                <w:sz w:val="18"/>
                <w:szCs w:val="18"/>
              </w:rPr>
            </w:pPr>
            <w:r>
              <w:rPr>
                <w:b/>
                <w:sz w:val="18"/>
                <w:szCs w:val="18"/>
              </w:rPr>
              <w:t xml:space="preserve">6.541,94     </w:t>
            </w:r>
          </w:p>
        </w:tc>
      </w:tr>
    </w:tbl>
    <w:p>
      <w:pPr>
        <w:pStyle w:val="Normal"/>
        <w:rPr/>
      </w:pPr>
      <w:r>
        <w:rPr/>
      </w:r>
    </w:p>
    <w:tbl>
      <w:tblPr>
        <w:tblW w:w="8854" w:type="dxa"/>
        <w:jc w:val="left"/>
        <w:tblInd w:w="0" w:type="dxa"/>
        <w:tblLayout w:type="fixed"/>
        <w:tblCellMar>
          <w:top w:w="0" w:type="dxa"/>
          <w:left w:w="30" w:type="dxa"/>
          <w:bottom w:w="0" w:type="dxa"/>
          <w:right w:w="30" w:type="dxa"/>
        </w:tblCellMar>
      </w:tblPr>
      <w:tblGrid>
        <w:gridCol w:w="8854"/>
      </w:tblGrid>
      <w:tr>
        <w:trPr>
          <w:trHeight w:val="256" w:hRule="atLeast"/>
        </w:trPr>
        <w:tc>
          <w:tcPr>
            <w:tcW w:w="8854" w:type="dxa"/>
            <w:tcBorders/>
            <w:vAlign w:val="bottom"/>
          </w:tcPr>
          <w:p>
            <w:pPr>
              <w:pStyle w:val="Normal"/>
              <w:tabs>
                <w:tab w:val="clear" w:pos="709"/>
              </w:tabs>
              <w:jc w:val="left"/>
              <w:rPr>
                <w:sz w:val="22"/>
                <w:szCs w:val="22"/>
              </w:rPr>
            </w:pPr>
            <w:r>
              <w:rPr>
                <w:b/>
                <w:i/>
                <w:sz w:val="22"/>
                <w:szCs w:val="22"/>
                <w:u w:val="single"/>
              </w:rPr>
              <w:t>Napomena: vrijeme priljeva ili odljeva sredstava temeljem sudskih presuda nije moguće utvrditi, zbog nemogućnosti procjene vremena trajanja spora</w:t>
            </w:r>
          </w:p>
        </w:tc>
      </w:tr>
    </w:tbl>
    <w:p>
      <w:pPr>
        <w:pStyle w:val="Normal"/>
        <w:rPr/>
      </w:pPr>
      <w:r>
        <w:rPr/>
      </w:r>
    </w:p>
    <w:p>
      <w:pPr>
        <w:pStyle w:val="Normal"/>
        <w:rPr/>
      </w:pPr>
      <w:r>
        <w:rPr/>
      </w:r>
    </w:p>
    <w:tbl>
      <w:tblPr>
        <w:tblW w:w="8498" w:type="dxa"/>
        <w:jc w:val="left"/>
        <w:tblInd w:w="25" w:type="dxa"/>
        <w:tblLayout w:type="fixed"/>
        <w:tblCellMar>
          <w:top w:w="55" w:type="dxa"/>
          <w:left w:w="55" w:type="dxa"/>
          <w:bottom w:w="55" w:type="dxa"/>
          <w:right w:w="55" w:type="dxa"/>
        </w:tblCellMar>
      </w:tblPr>
      <w:tblGrid>
        <w:gridCol w:w="1448"/>
        <w:gridCol w:w="3922"/>
        <w:gridCol w:w="1696"/>
        <w:gridCol w:w="1431"/>
      </w:tblGrid>
      <w:tr>
        <w:trPr>
          <w:trHeight w:val="276" w:hRule="atLeast"/>
        </w:trPr>
        <w:tc>
          <w:tcPr>
            <w:tcW w:w="8497" w:type="dxa"/>
            <w:gridSpan w:val="4"/>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s>
              <w:jc w:val="center"/>
              <w:rPr>
                <w:sz w:val="18"/>
                <w:szCs w:val="18"/>
              </w:rPr>
            </w:pPr>
            <w:r>
              <w:rPr>
                <w:b/>
                <w:sz w:val="18"/>
                <w:szCs w:val="18"/>
              </w:rPr>
              <w:t>IZVANBILANČNI ZAPISI</w:t>
            </w:r>
          </w:p>
        </w:tc>
      </w:tr>
      <w:tr>
        <w:trPr>
          <w:trHeight w:val="939" w:hRule="atLeast"/>
        </w:trPr>
        <w:tc>
          <w:tcPr>
            <w:tcW w:w="1448"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Popis danih</w:t>
              <w:br/>
              <w:t xml:space="preserve"> instrumenata </w:t>
              <w:br/>
              <w:t xml:space="preserve">Osiguranja </w:t>
              <w:br/>
              <w:t xml:space="preserve">Plaćanja </w:t>
            </w:r>
          </w:p>
        </w:tc>
        <w:tc>
          <w:tcPr>
            <w:tcW w:w="3922"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 xml:space="preserve">Temelj izdavanja </w:t>
            </w:r>
          </w:p>
        </w:tc>
        <w:tc>
          <w:tcPr>
            <w:tcW w:w="1696"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 xml:space="preserve">Dobavljač </w:t>
              <w:br/>
              <w:t xml:space="preserve">za </w:t>
              <w:br/>
              <w:t xml:space="preserve">Isporučenu </w:t>
              <w:br/>
              <w:t>Robu/uslugu</w:t>
            </w:r>
          </w:p>
        </w:tc>
        <w:tc>
          <w:tcPr>
            <w:tcW w:w="1431" w:type="dxa"/>
            <w:tcBorders>
              <w:left w:val="single" w:sz="4" w:space="0" w:color="000000"/>
              <w:bottom w:val="single" w:sz="4" w:space="0" w:color="000000"/>
              <w:right w:val="single" w:sz="4" w:space="0" w:color="000000"/>
            </w:tcBorders>
            <w:vAlign w:val="center"/>
          </w:tcPr>
          <w:p>
            <w:pPr>
              <w:pStyle w:val="Normal"/>
              <w:tabs>
                <w:tab w:val="clear" w:pos="709"/>
              </w:tabs>
              <w:jc w:val="center"/>
              <w:rPr>
                <w:sz w:val="18"/>
                <w:szCs w:val="18"/>
              </w:rPr>
            </w:pPr>
            <w:r>
              <w:rPr>
                <w:sz w:val="18"/>
                <w:szCs w:val="18"/>
              </w:rPr>
              <w:t xml:space="preserve">Iznos </w:t>
              <w:br/>
              <w:t xml:space="preserve">instrumenta </w:t>
              <w:br/>
              <w:t>Osiguranja</w:t>
              <w:br/>
              <w:t xml:space="preserve"> Plaćanja do</w:t>
            </w:r>
          </w:p>
        </w:tc>
      </w:tr>
      <w:tr>
        <w:trPr>
          <w:trHeight w:val="710" w:hRule="atLeast"/>
        </w:trPr>
        <w:tc>
          <w:tcPr>
            <w:tcW w:w="1448"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Zadužnica</w:t>
            </w:r>
          </w:p>
        </w:tc>
        <w:tc>
          <w:tcPr>
            <w:tcW w:w="3922"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 xml:space="preserve">Ugovor/obveza za isporuku roba i usluga </w:t>
            </w:r>
          </w:p>
        </w:tc>
        <w:tc>
          <w:tcPr>
            <w:tcW w:w="1696"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 xml:space="preserve">Dobavljač </w:t>
              <w:br/>
              <w:t xml:space="preserve">Za isporučenu </w:t>
              <w:br/>
              <w:t>Energiju</w:t>
            </w:r>
          </w:p>
        </w:tc>
        <w:tc>
          <w:tcPr>
            <w:tcW w:w="1431" w:type="dxa"/>
            <w:tcBorders>
              <w:left w:val="single" w:sz="4" w:space="0" w:color="000000"/>
              <w:bottom w:val="single" w:sz="4" w:space="0" w:color="000000"/>
              <w:right w:val="single" w:sz="4" w:space="0" w:color="000000"/>
            </w:tcBorders>
            <w:vAlign w:val="center"/>
          </w:tcPr>
          <w:p>
            <w:pPr>
              <w:pStyle w:val="Normal"/>
              <w:tabs>
                <w:tab w:val="clear" w:pos="709"/>
              </w:tabs>
              <w:jc w:val="center"/>
              <w:rPr>
                <w:sz w:val="18"/>
                <w:szCs w:val="18"/>
              </w:rPr>
            </w:pPr>
            <w:r>
              <w:rPr>
                <w:sz w:val="18"/>
                <w:szCs w:val="18"/>
              </w:rPr>
              <w:t>6.636,14</w:t>
            </w:r>
          </w:p>
        </w:tc>
      </w:tr>
      <w:tr>
        <w:trPr>
          <w:trHeight w:val="963" w:hRule="atLeast"/>
        </w:trPr>
        <w:tc>
          <w:tcPr>
            <w:tcW w:w="1448"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 xml:space="preserve">Zadužnica </w:t>
            </w:r>
          </w:p>
        </w:tc>
        <w:tc>
          <w:tcPr>
            <w:tcW w:w="3922"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Ugovor/obveza za isporučenu robu i usluge</w:t>
            </w:r>
          </w:p>
        </w:tc>
        <w:tc>
          <w:tcPr>
            <w:tcW w:w="1696"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 xml:space="preserve">Dobavljač </w:t>
              <w:br/>
              <w:t xml:space="preserve">Za isporučene </w:t>
              <w:br/>
              <w:t>Komunalne usluge</w:t>
            </w:r>
          </w:p>
        </w:tc>
        <w:tc>
          <w:tcPr>
            <w:tcW w:w="1431" w:type="dxa"/>
            <w:tcBorders>
              <w:left w:val="single" w:sz="4" w:space="0" w:color="000000"/>
              <w:bottom w:val="single" w:sz="4" w:space="0" w:color="000000"/>
              <w:right w:val="single" w:sz="4" w:space="0" w:color="000000"/>
            </w:tcBorders>
            <w:vAlign w:val="center"/>
          </w:tcPr>
          <w:p>
            <w:pPr>
              <w:pStyle w:val="Normal"/>
              <w:tabs>
                <w:tab w:val="clear" w:pos="709"/>
              </w:tabs>
              <w:jc w:val="center"/>
              <w:rPr>
                <w:sz w:val="18"/>
                <w:szCs w:val="18"/>
              </w:rPr>
            </w:pPr>
            <w:r>
              <w:rPr>
                <w:sz w:val="18"/>
                <w:szCs w:val="18"/>
              </w:rPr>
              <w:t>6.636,14</w:t>
            </w:r>
          </w:p>
        </w:tc>
      </w:tr>
      <w:tr>
        <w:trPr>
          <w:trHeight w:val="734" w:hRule="atLeast"/>
        </w:trPr>
        <w:tc>
          <w:tcPr>
            <w:tcW w:w="1448"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 xml:space="preserve">Zadužnica </w:t>
            </w:r>
          </w:p>
        </w:tc>
        <w:tc>
          <w:tcPr>
            <w:tcW w:w="3922"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 xml:space="preserve">Ugovor/obveza za isporučenu robu i usluge </w:t>
            </w:r>
          </w:p>
        </w:tc>
        <w:tc>
          <w:tcPr>
            <w:tcW w:w="1696"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Dobavljač</w:t>
              <w:br/>
              <w:t xml:space="preserve"> Za isporučene </w:t>
              <w:br/>
              <w:t>Komunalne usluge</w:t>
            </w:r>
          </w:p>
        </w:tc>
        <w:tc>
          <w:tcPr>
            <w:tcW w:w="1431" w:type="dxa"/>
            <w:tcBorders>
              <w:left w:val="single" w:sz="4" w:space="0" w:color="000000"/>
              <w:bottom w:val="single" w:sz="4" w:space="0" w:color="000000"/>
              <w:right w:val="single" w:sz="4" w:space="0" w:color="000000"/>
            </w:tcBorders>
            <w:vAlign w:val="center"/>
          </w:tcPr>
          <w:p>
            <w:pPr>
              <w:pStyle w:val="Normal"/>
              <w:tabs>
                <w:tab w:val="clear" w:pos="709"/>
              </w:tabs>
              <w:jc w:val="center"/>
              <w:rPr>
                <w:sz w:val="18"/>
                <w:szCs w:val="18"/>
              </w:rPr>
            </w:pPr>
            <w:r>
              <w:rPr>
                <w:sz w:val="18"/>
                <w:szCs w:val="18"/>
              </w:rPr>
              <w:t>13.272,28</w:t>
            </w:r>
          </w:p>
        </w:tc>
      </w:tr>
      <w:tr>
        <w:trPr>
          <w:trHeight w:val="256" w:hRule="atLeast"/>
        </w:trPr>
        <w:tc>
          <w:tcPr>
            <w:tcW w:w="1448" w:type="dxa"/>
            <w:tcBorders>
              <w:left w:val="single" w:sz="4" w:space="0" w:color="000000"/>
              <w:bottom w:val="single" w:sz="4" w:space="0" w:color="000000"/>
            </w:tcBorders>
            <w:vAlign w:val="bottom"/>
          </w:tcPr>
          <w:p>
            <w:pPr>
              <w:pStyle w:val="Normal"/>
              <w:tabs>
                <w:tab w:val="clear" w:pos="709"/>
              </w:tabs>
              <w:jc w:val="center"/>
              <w:rPr>
                <w:sz w:val="18"/>
                <w:szCs w:val="18"/>
              </w:rPr>
            </w:pPr>
            <w:r>
              <w:rPr>
                <w:b/>
                <w:sz w:val="18"/>
                <w:szCs w:val="18"/>
              </w:rPr>
              <w:t>UKUPNO:</w:t>
            </w:r>
          </w:p>
        </w:tc>
        <w:tc>
          <w:tcPr>
            <w:tcW w:w="3922" w:type="dxa"/>
            <w:tcBorders>
              <w:left w:val="single" w:sz="4" w:space="0" w:color="000000"/>
              <w:bottom w:val="single" w:sz="4" w:space="0" w:color="000000"/>
            </w:tcBorders>
            <w:vAlign w:val="bottom"/>
          </w:tcPr>
          <w:p>
            <w:pPr>
              <w:pStyle w:val="Normal"/>
              <w:tabs>
                <w:tab w:val="clear" w:pos="709"/>
              </w:tabs>
              <w:jc w:val="left"/>
              <w:rPr>
                <w:b/>
                <w:sz w:val="18"/>
                <w:szCs w:val="18"/>
              </w:rPr>
            </w:pPr>
            <w:r>
              <w:rPr>
                <w:b/>
                <w:sz w:val="18"/>
                <w:szCs w:val="18"/>
              </w:rPr>
            </w:r>
          </w:p>
        </w:tc>
        <w:tc>
          <w:tcPr>
            <w:tcW w:w="1696" w:type="dxa"/>
            <w:tcBorders>
              <w:left w:val="single" w:sz="4" w:space="0" w:color="000000"/>
              <w:bottom w:val="single" w:sz="4" w:space="0" w:color="000000"/>
            </w:tcBorders>
            <w:vAlign w:val="bottom"/>
          </w:tcPr>
          <w:p>
            <w:pPr>
              <w:pStyle w:val="Normal"/>
              <w:tabs>
                <w:tab w:val="clear" w:pos="709"/>
              </w:tabs>
              <w:jc w:val="left"/>
              <w:rPr>
                <w:sz w:val="18"/>
                <w:szCs w:val="18"/>
              </w:rPr>
            </w:pPr>
            <w:r>
              <w:rPr>
                <w:sz w:val="18"/>
                <w:szCs w:val="18"/>
              </w:rPr>
            </w:r>
          </w:p>
        </w:tc>
        <w:tc>
          <w:tcPr>
            <w:tcW w:w="1431" w:type="dxa"/>
            <w:tcBorders>
              <w:left w:val="single" w:sz="4" w:space="0" w:color="000000"/>
              <w:bottom w:val="single" w:sz="4" w:space="0" w:color="000000"/>
              <w:right w:val="single" w:sz="4" w:space="0" w:color="000000"/>
            </w:tcBorders>
            <w:vAlign w:val="bottom"/>
          </w:tcPr>
          <w:p>
            <w:pPr>
              <w:pStyle w:val="Normal"/>
              <w:tabs>
                <w:tab w:val="clear" w:pos="709"/>
              </w:tabs>
              <w:jc w:val="center"/>
              <w:rPr>
                <w:sz w:val="18"/>
                <w:szCs w:val="18"/>
              </w:rPr>
            </w:pPr>
            <w:r>
              <w:rPr>
                <w:b/>
                <w:sz w:val="18"/>
                <w:szCs w:val="18"/>
              </w:rPr>
              <w:t>26.544,56</w:t>
            </w:r>
          </w:p>
        </w:tc>
      </w:tr>
      <w:tr>
        <w:trPr>
          <w:trHeight w:val="256" w:hRule="atLeast"/>
        </w:trPr>
        <w:tc>
          <w:tcPr>
            <w:tcW w:w="1448" w:type="dxa"/>
            <w:tcBorders/>
            <w:tcMar>
              <w:top w:w="0" w:type="dxa"/>
              <w:left w:w="30" w:type="dxa"/>
              <w:bottom w:w="0" w:type="dxa"/>
              <w:right w:w="30" w:type="dxa"/>
            </w:tcMar>
            <w:vAlign w:val="bottom"/>
          </w:tcPr>
          <w:p>
            <w:pPr>
              <w:pStyle w:val="Normal"/>
              <w:tabs>
                <w:tab w:val="clear" w:pos="709"/>
              </w:tabs>
              <w:jc w:val="left"/>
              <w:rPr>
                <w:sz w:val="18"/>
                <w:szCs w:val="18"/>
              </w:rPr>
            </w:pPr>
            <w:r>
              <w:rPr>
                <w:sz w:val="18"/>
                <w:szCs w:val="18"/>
              </w:rPr>
            </w:r>
          </w:p>
        </w:tc>
        <w:tc>
          <w:tcPr>
            <w:tcW w:w="3922" w:type="dxa"/>
            <w:tcBorders/>
            <w:tcMar>
              <w:top w:w="0" w:type="dxa"/>
              <w:left w:w="30" w:type="dxa"/>
              <w:bottom w:w="0" w:type="dxa"/>
              <w:right w:w="30" w:type="dxa"/>
            </w:tcMar>
            <w:vAlign w:val="bottom"/>
          </w:tcPr>
          <w:p>
            <w:pPr>
              <w:pStyle w:val="Normal"/>
              <w:tabs>
                <w:tab w:val="clear" w:pos="709"/>
              </w:tabs>
              <w:jc w:val="left"/>
              <w:rPr>
                <w:sz w:val="18"/>
                <w:szCs w:val="18"/>
              </w:rPr>
            </w:pPr>
            <w:r>
              <w:rPr>
                <w:sz w:val="18"/>
                <w:szCs w:val="18"/>
              </w:rPr>
            </w:r>
          </w:p>
        </w:tc>
        <w:tc>
          <w:tcPr>
            <w:tcW w:w="1696" w:type="dxa"/>
            <w:tcBorders/>
            <w:tcMar>
              <w:top w:w="0" w:type="dxa"/>
              <w:left w:w="30" w:type="dxa"/>
              <w:bottom w:w="0" w:type="dxa"/>
              <w:right w:w="30" w:type="dxa"/>
            </w:tcMar>
            <w:vAlign w:val="bottom"/>
          </w:tcPr>
          <w:p>
            <w:pPr>
              <w:pStyle w:val="Normal"/>
              <w:tabs>
                <w:tab w:val="clear" w:pos="709"/>
              </w:tabs>
              <w:jc w:val="left"/>
              <w:rPr>
                <w:sz w:val="18"/>
                <w:szCs w:val="18"/>
              </w:rPr>
            </w:pPr>
            <w:r>
              <w:rPr>
                <w:sz w:val="18"/>
                <w:szCs w:val="18"/>
              </w:rPr>
            </w:r>
          </w:p>
        </w:tc>
        <w:tc>
          <w:tcPr>
            <w:tcW w:w="1431" w:type="dxa"/>
            <w:tcBorders/>
            <w:tcMar>
              <w:top w:w="0" w:type="dxa"/>
              <w:left w:w="30" w:type="dxa"/>
              <w:bottom w:w="0" w:type="dxa"/>
              <w:right w:w="30" w:type="dxa"/>
            </w:tcMar>
            <w:vAlign w:val="bottom"/>
          </w:tcPr>
          <w:p>
            <w:pPr>
              <w:pStyle w:val="Normal"/>
              <w:tabs>
                <w:tab w:val="clear" w:pos="709"/>
              </w:tabs>
              <w:jc w:val="left"/>
              <w:rPr>
                <w:sz w:val="18"/>
                <w:szCs w:val="18"/>
              </w:rPr>
            </w:pPr>
            <w:r>
              <w:rPr>
                <w:sz w:val="18"/>
                <w:szCs w:val="18"/>
              </w:rPr>
            </w:r>
          </w:p>
        </w:tc>
      </w:tr>
      <w:tr>
        <w:trPr>
          <w:trHeight w:val="256" w:hRule="atLeast"/>
        </w:trPr>
        <w:tc>
          <w:tcPr>
            <w:tcW w:w="8497" w:type="dxa"/>
            <w:gridSpan w:val="4"/>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s>
              <w:jc w:val="center"/>
              <w:rPr>
                <w:sz w:val="18"/>
                <w:szCs w:val="18"/>
              </w:rPr>
            </w:pPr>
            <w:r>
              <w:rPr>
                <w:b/>
                <w:sz w:val="18"/>
                <w:szCs w:val="18"/>
              </w:rPr>
              <w:t>EVIDENCIJA PRIMLJENIH JAMSTVA</w:t>
            </w:r>
          </w:p>
        </w:tc>
      </w:tr>
      <w:tr>
        <w:trPr>
          <w:trHeight w:val="1156" w:hRule="atLeast"/>
        </w:trPr>
        <w:tc>
          <w:tcPr>
            <w:tcW w:w="1448"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 xml:space="preserve">Popis </w:t>
              <w:br/>
              <w:t xml:space="preserve">primljenih </w:t>
              <w:br/>
              <w:t xml:space="preserve">instrumenata </w:t>
              <w:br/>
              <w:t xml:space="preserve">Osiguranja </w:t>
              <w:br/>
              <w:t xml:space="preserve">plaćanja </w:t>
            </w:r>
          </w:p>
        </w:tc>
        <w:tc>
          <w:tcPr>
            <w:tcW w:w="3922"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 xml:space="preserve">Temelj izdavanja </w:t>
            </w:r>
          </w:p>
        </w:tc>
        <w:tc>
          <w:tcPr>
            <w:tcW w:w="1696"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 xml:space="preserve">Dobavljač </w:t>
              <w:br/>
              <w:t xml:space="preserve">Za isporučenu </w:t>
              <w:br/>
              <w:t>Robu/uslugu</w:t>
            </w:r>
          </w:p>
        </w:tc>
        <w:tc>
          <w:tcPr>
            <w:tcW w:w="1431" w:type="dxa"/>
            <w:tcBorders>
              <w:left w:val="single" w:sz="4" w:space="0" w:color="000000"/>
              <w:bottom w:val="single" w:sz="4" w:space="0" w:color="000000"/>
              <w:right w:val="single" w:sz="4" w:space="0" w:color="000000"/>
            </w:tcBorders>
            <w:vAlign w:val="center"/>
          </w:tcPr>
          <w:p>
            <w:pPr>
              <w:pStyle w:val="Normal"/>
              <w:tabs>
                <w:tab w:val="clear" w:pos="709"/>
              </w:tabs>
              <w:jc w:val="center"/>
              <w:rPr>
                <w:sz w:val="18"/>
                <w:szCs w:val="18"/>
              </w:rPr>
            </w:pPr>
            <w:r>
              <w:rPr>
                <w:sz w:val="18"/>
                <w:szCs w:val="18"/>
              </w:rPr>
              <w:t xml:space="preserve">Iznos </w:t>
              <w:br/>
              <w:t xml:space="preserve">instrumenta </w:t>
              <w:br/>
              <w:t xml:space="preserve">osiguranja </w:t>
              <w:br/>
              <w:t>Plaćanja do</w:t>
            </w:r>
          </w:p>
        </w:tc>
      </w:tr>
      <w:tr>
        <w:trPr>
          <w:trHeight w:val="698" w:hRule="atLeast"/>
        </w:trPr>
        <w:tc>
          <w:tcPr>
            <w:tcW w:w="1448"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 xml:space="preserve">Primljene </w:t>
              <w:br/>
              <w:t xml:space="preserve">Bjanko </w:t>
              <w:br/>
              <w:t xml:space="preserve">Zadužnice </w:t>
            </w:r>
          </w:p>
        </w:tc>
        <w:tc>
          <w:tcPr>
            <w:tcW w:w="3922"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Ugovori</w:t>
            </w:r>
          </w:p>
        </w:tc>
        <w:tc>
          <w:tcPr>
            <w:tcW w:w="1696" w:type="dxa"/>
            <w:tcBorders>
              <w:left w:val="single" w:sz="4" w:space="0" w:color="000000"/>
              <w:bottom w:val="single" w:sz="4" w:space="0" w:color="000000"/>
            </w:tcBorders>
            <w:vAlign w:val="center"/>
          </w:tcPr>
          <w:p>
            <w:pPr>
              <w:pStyle w:val="Normal"/>
              <w:tabs>
                <w:tab w:val="clear" w:pos="709"/>
              </w:tabs>
              <w:jc w:val="center"/>
              <w:rPr>
                <w:sz w:val="18"/>
                <w:szCs w:val="18"/>
              </w:rPr>
            </w:pPr>
            <w:r>
              <w:rPr>
                <w:sz w:val="18"/>
                <w:szCs w:val="18"/>
              </w:rPr>
              <w:t>Razno</w:t>
            </w:r>
          </w:p>
        </w:tc>
        <w:tc>
          <w:tcPr>
            <w:tcW w:w="1431" w:type="dxa"/>
            <w:tcBorders>
              <w:left w:val="single" w:sz="4" w:space="0" w:color="000000"/>
              <w:bottom w:val="single" w:sz="4" w:space="0" w:color="000000"/>
              <w:right w:val="single" w:sz="4" w:space="0" w:color="000000"/>
            </w:tcBorders>
            <w:vAlign w:val="center"/>
          </w:tcPr>
          <w:p>
            <w:pPr>
              <w:pStyle w:val="Normal"/>
              <w:tabs>
                <w:tab w:val="clear" w:pos="709"/>
              </w:tabs>
              <w:jc w:val="center"/>
              <w:rPr>
                <w:sz w:val="18"/>
                <w:szCs w:val="18"/>
              </w:rPr>
            </w:pPr>
            <w:r>
              <w:rPr>
                <w:sz w:val="18"/>
                <w:szCs w:val="18"/>
              </w:rPr>
              <w:t>136.778,60</w:t>
            </w:r>
          </w:p>
        </w:tc>
      </w:tr>
      <w:tr>
        <w:trPr>
          <w:trHeight w:val="256" w:hRule="atLeast"/>
        </w:trPr>
        <w:tc>
          <w:tcPr>
            <w:tcW w:w="1448" w:type="dxa"/>
            <w:tcBorders>
              <w:left w:val="single" w:sz="4" w:space="0" w:color="000000"/>
              <w:bottom w:val="single" w:sz="4" w:space="0" w:color="000000"/>
            </w:tcBorders>
            <w:vAlign w:val="bottom"/>
          </w:tcPr>
          <w:p>
            <w:pPr>
              <w:pStyle w:val="Normal"/>
              <w:tabs>
                <w:tab w:val="clear" w:pos="709"/>
              </w:tabs>
              <w:jc w:val="center"/>
              <w:rPr>
                <w:sz w:val="18"/>
                <w:szCs w:val="18"/>
              </w:rPr>
            </w:pPr>
            <w:r>
              <w:rPr>
                <w:b/>
                <w:sz w:val="18"/>
                <w:szCs w:val="18"/>
              </w:rPr>
              <w:t>UKUPNO:</w:t>
            </w:r>
          </w:p>
        </w:tc>
        <w:tc>
          <w:tcPr>
            <w:tcW w:w="3922" w:type="dxa"/>
            <w:tcBorders>
              <w:left w:val="single" w:sz="4" w:space="0" w:color="000000"/>
              <w:bottom w:val="single" w:sz="4" w:space="0" w:color="000000"/>
            </w:tcBorders>
            <w:vAlign w:val="bottom"/>
          </w:tcPr>
          <w:p>
            <w:pPr>
              <w:pStyle w:val="Normal"/>
              <w:tabs>
                <w:tab w:val="clear" w:pos="709"/>
              </w:tabs>
              <w:jc w:val="left"/>
              <w:rPr>
                <w:b/>
                <w:sz w:val="18"/>
                <w:szCs w:val="18"/>
              </w:rPr>
            </w:pPr>
            <w:r>
              <w:rPr>
                <w:b/>
                <w:sz w:val="18"/>
                <w:szCs w:val="18"/>
              </w:rPr>
            </w:r>
          </w:p>
        </w:tc>
        <w:tc>
          <w:tcPr>
            <w:tcW w:w="1696" w:type="dxa"/>
            <w:tcBorders>
              <w:left w:val="single" w:sz="4" w:space="0" w:color="000000"/>
              <w:bottom w:val="single" w:sz="4" w:space="0" w:color="000000"/>
            </w:tcBorders>
            <w:vAlign w:val="bottom"/>
          </w:tcPr>
          <w:p>
            <w:pPr>
              <w:pStyle w:val="Normal"/>
              <w:tabs>
                <w:tab w:val="clear" w:pos="709"/>
              </w:tabs>
              <w:jc w:val="left"/>
              <w:rPr>
                <w:sz w:val="18"/>
                <w:szCs w:val="18"/>
              </w:rPr>
            </w:pPr>
            <w:r>
              <w:rPr>
                <w:sz w:val="18"/>
                <w:szCs w:val="18"/>
              </w:rPr>
            </w:r>
          </w:p>
        </w:tc>
        <w:tc>
          <w:tcPr>
            <w:tcW w:w="1431" w:type="dxa"/>
            <w:tcBorders>
              <w:left w:val="single" w:sz="4" w:space="0" w:color="000000"/>
              <w:bottom w:val="single" w:sz="4" w:space="0" w:color="000000"/>
              <w:right w:val="single" w:sz="4" w:space="0" w:color="000000"/>
            </w:tcBorders>
            <w:vAlign w:val="bottom"/>
          </w:tcPr>
          <w:p>
            <w:pPr>
              <w:pStyle w:val="Normal"/>
              <w:tabs>
                <w:tab w:val="clear" w:pos="709"/>
              </w:tabs>
              <w:jc w:val="center"/>
              <w:rPr>
                <w:sz w:val="18"/>
                <w:szCs w:val="18"/>
              </w:rPr>
            </w:pPr>
            <w:r>
              <w:rPr>
                <w:b/>
                <w:sz w:val="18"/>
                <w:szCs w:val="18"/>
              </w:rPr>
              <w:t>136.778,60</w:t>
            </w:r>
          </w:p>
        </w:tc>
      </w:tr>
    </w:tbl>
    <w:p>
      <w:pPr>
        <w:pStyle w:val="Normal"/>
        <w:rPr/>
      </w:pPr>
      <w:r>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2"/>
          <w:szCs w:val="22"/>
        </w:rPr>
      </w:pPr>
      <w:r>
        <w:rPr>
          <w:rFonts w:cs="Times New Roman" w:ascii="Times New Roman" w:hAnsi="Times New Roman"/>
          <w:sz w:val="22"/>
          <w:szCs w:val="22"/>
        </w:rPr>
        <w:t>Knin, 28.01.202</w:t>
      </w:r>
      <w:r>
        <w:rPr>
          <w:rFonts w:cs="Times New Roman" w:ascii="Times New Roman" w:hAnsi="Times New Roman"/>
          <w:sz w:val="22"/>
          <w:szCs w:val="22"/>
        </w:rPr>
        <w:t>6</w:t>
      </w:r>
      <w:r>
        <w:rPr>
          <w:rFonts w:cs="Times New Roman" w:ascii="Times New Roman" w:hAnsi="Times New Roman"/>
          <w:sz w:val="22"/>
          <w:szCs w:val="22"/>
        </w:rPr>
        <w:t>. godine</w:t>
      </w:r>
    </w:p>
    <w:p>
      <w:pPr>
        <w:pStyle w:val="Normal"/>
        <w:jc w:val="both"/>
        <w:rPr>
          <w:rFonts w:ascii="Times New Roman" w:hAnsi="Times New Roman" w:cs="Times New Roman"/>
          <w:sz w:val="22"/>
          <w:szCs w:val="22"/>
        </w:rPr>
      </w:pPr>
      <w:r>
        <w:rPr>
          <w:rFonts w:cs="Times New Roman" w:ascii="Times New Roman" w:hAnsi="Times New Roman"/>
          <w:sz w:val="22"/>
          <w:szCs w:val="22"/>
        </w:rPr>
        <w:t>Klasa: 400-03/25-01/01</w:t>
      </w:r>
    </w:p>
    <w:p>
      <w:pPr>
        <w:pStyle w:val="Normal"/>
        <w:jc w:val="both"/>
        <w:rPr>
          <w:rFonts w:ascii="Times New Roman" w:hAnsi="Times New Roman" w:cs="Times New Roman"/>
          <w:sz w:val="22"/>
          <w:szCs w:val="22"/>
        </w:rPr>
      </w:pPr>
      <w:r>
        <w:rPr>
          <w:rFonts w:cs="Times New Roman" w:ascii="Times New Roman" w:hAnsi="Times New Roman"/>
          <w:sz w:val="22"/>
          <w:szCs w:val="22"/>
        </w:rPr>
        <w:t>Ur.broj: 2182-10-17/02-25-</w:t>
      </w:r>
      <w:r>
        <w:rPr>
          <w:rFonts w:cs="Times New Roman" w:ascii="Times New Roman" w:hAnsi="Times New Roman"/>
          <w:sz w:val="22"/>
          <w:szCs w:val="22"/>
        </w:rPr>
        <w:t>18</w:t>
      </w:r>
    </w:p>
    <w:p>
      <w:pPr>
        <w:pStyle w:val="Normal"/>
        <w:jc w:val="both"/>
        <w:rPr>
          <w:sz w:val="22"/>
          <w:szCs w:val="22"/>
        </w:rPr>
      </w:pPr>
      <w:r>
        <w:rPr>
          <w:sz w:val="22"/>
          <w:szCs w:val="22"/>
        </w:rPr>
      </w:r>
    </w:p>
    <w:p>
      <w:pPr>
        <w:pStyle w:val="Normal"/>
        <w:spacing w:lineRule="auto" w:line="276"/>
        <w:jc w:val="both"/>
        <w:rPr>
          <w:rFonts w:ascii="Times New Roman" w:hAnsi="Times New Roman" w:eastAsia="Times New Roman" w:cs="Times New Roman"/>
          <w:b w:val="false"/>
          <w:bCs w:val="false"/>
          <w:sz w:val="22"/>
          <w:szCs w:val="22"/>
        </w:rPr>
      </w:pPr>
      <w:r>
        <w:rPr>
          <w:rFonts w:eastAsia="Times New Roman" w:cs="Times New Roman" w:ascii="Times New Roman" w:hAnsi="Times New Roman"/>
          <w:b w:val="false"/>
          <w:bCs w:val="false"/>
          <w:sz w:val="22"/>
          <w:szCs w:val="22"/>
        </w:rPr>
        <w:t>V</w:t>
      </w:r>
      <w:r>
        <w:rPr>
          <w:rFonts w:eastAsia="Times New Roman" w:cs="Times New Roman" w:ascii="Times New Roman" w:hAnsi="Times New Roman"/>
          <w:b w:val="false"/>
          <w:bCs w:val="false"/>
          <w:sz w:val="22"/>
          <w:szCs w:val="22"/>
        </w:rPr>
        <w:t xml:space="preserve">oditelj Odjela za </w:t>
      </w:r>
    </w:p>
    <w:p>
      <w:pPr>
        <w:pStyle w:val="Normal"/>
        <w:spacing w:lineRule="auto" w:line="276"/>
        <w:jc w:val="both"/>
        <w:rPr>
          <w:rFonts w:ascii="Times New Roman" w:hAnsi="Times New Roman" w:cs="Times New Roman"/>
          <w:b w:val="false"/>
          <w:bCs w:val="false"/>
          <w:sz w:val="22"/>
          <w:szCs w:val="22"/>
        </w:rPr>
      </w:pPr>
      <w:r>
        <w:rPr>
          <w:rFonts w:cs="Times New Roman"/>
          <w:b w:val="false"/>
          <w:bCs w:val="false"/>
          <w:sz w:val="22"/>
          <w:szCs w:val="22"/>
        </w:rPr>
        <w:t>ekonomsko-financijske poslove</w:t>
      </w:r>
    </w:p>
    <w:p>
      <w:pPr>
        <w:pStyle w:val="Normal"/>
        <w:spacing w:lineRule="auto" w:line="276"/>
        <w:jc w:val="both"/>
        <w:rPr>
          <w:rFonts w:ascii="Times New Roman" w:hAnsi="Times New Roman" w:cs="Times New Roman"/>
          <w:b w:val="false"/>
          <w:bCs w:val="false"/>
          <w:sz w:val="22"/>
          <w:szCs w:val="22"/>
        </w:rPr>
      </w:pPr>
      <w:r>
        <w:rPr>
          <w:rFonts w:cs="Times New Roman"/>
          <w:b w:val="false"/>
          <w:bCs w:val="false"/>
          <w:sz w:val="22"/>
          <w:szCs w:val="22"/>
        </w:rPr>
        <w:t>____________________</w:t>
      </w:r>
    </w:p>
    <w:p>
      <w:pPr>
        <w:pStyle w:val="Normal"/>
        <w:jc w:val="both"/>
        <w:rPr>
          <w:sz w:val="22"/>
          <w:szCs w:val="22"/>
        </w:rPr>
      </w:pPr>
      <w:r>
        <w:rPr>
          <w:rFonts w:eastAsia="Times New Roman" w:cs="Times New Roman"/>
          <w:b w:val="false"/>
          <w:bCs w:val="false"/>
          <w:sz w:val="22"/>
          <w:szCs w:val="22"/>
        </w:rPr>
        <w:t xml:space="preserve">Kristina Butković, mag.oec.      </w:t>
      </w:r>
    </w:p>
    <w:p>
      <w:pPr>
        <w:pStyle w:val="Normal"/>
        <w:rPr>
          <w:sz w:val="22"/>
          <w:szCs w:val="22"/>
        </w:rPr>
      </w:pPr>
      <w:r>
        <w:rPr>
          <w:rFonts w:eastAsia="Times New Roman" w:cs="Times New Roman" w:ascii="Times New Roman" w:hAnsi="Times New Roman"/>
          <w:b/>
          <w:sz w:val="22"/>
          <w:szCs w:val="22"/>
        </w:rPr>
        <w:t xml:space="preserve">                                                                                              </w:t>
      </w:r>
      <w:r>
        <w:rPr>
          <w:rFonts w:cs="Times New Roman" w:ascii="Times New Roman" w:hAnsi="Times New Roman"/>
          <w:b/>
          <w:sz w:val="22"/>
          <w:szCs w:val="22"/>
        </w:rPr>
        <w:t>Zakonski predstavnik:</w:t>
      </w:r>
    </w:p>
    <w:p>
      <w:pPr>
        <w:pStyle w:val="Normal"/>
        <w:rPr>
          <w:sz w:val="22"/>
          <w:szCs w:val="22"/>
        </w:rPr>
      </w:pPr>
      <w:r>
        <w:rPr>
          <w:rFonts w:eastAsia="Times New Roman" w:cs="Times New Roman" w:ascii="Times New Roman" w:hAnsi="Times New Roman"/>
          <w:b/>
          <w:sz w:val="22"/>
          <w:szCs w:val="22"/>
        </w:rPr>
        <w:t xml:space="preserve">                                                                                            </w:t>
      </w:r>
      <w:r>
        <w:rPr>
          <w:rFonts w:cs="Times New Roman" w:ascii="Times New Roman" w:hAnsi="Times New Roman"/>
          <w:b/>
          <w:sz w:val="22"/>
          <w:szCs w:val="22"/>
        </w:rPr>
        <w:t>..........................................</w:t>
      </w:r>
    </w:p>
    <w:p>
      <w:pPr>
        <w:pStyle w:val="Normal"/>
        <w:rPr>
          <w:sz w:val="22"/>
          <w:szCs w:val="22"/>
        </w:rPr>
      </w:pPr>
      <w:r>
        <w:rPr>
          <w:rFonts w:eastAsia="Times New Roman" w:cs="Times New Roman" w:ascii="Times New Roman" w:hAnsi="Times New Roman"/>
          <w:b/>
          <w:sz w:val="22"/>
          <w:szCs w:val="22"/>
        </w:rPr>
        <w:t xml:space="preserve">                                                                                                    </w:t>
      </w:r>
      <w:r>
        <w:rPr>
          <w:rFonts w:cs="Times New Roman" w:ascii="Times New Roman" w:hAnsi="Times New Roman"/>
          <w:b/>
          <w:sz w:val="22"/>
          <w:szCs w:val="22"/>
        </w:rPr>
        <w:t xml:space="preserve">RAVNATELJICA </w:t>
      </w:r>
    </w:p>
    <w:p>
      <w:pPr>
        <w:pStyle w:val="Normal"/>
        <w:rPr>
          <w:rFonts w:ascii="Times New Roman" w:hAnsi="Times New Roman" w:cs="Times New Roman"/>
          <w:b/>
        </w:rPr>
      </w:pPr>
      <w:r>
        <w:rPr>
          <w:sz w:val="22"/>
          <w:szCs w:val="22"/>
        </w:rPr>
      </w:r>
    </w:p>
    <w:p>
      <w:pPr>
        <w:pStyle w:val="Normal"/>
        <w:spacing w:before="0" w:after="200"/>
        <w:rPr>
          <w:sz w:val="22"/>
          <w:szCs w:val="22"/>
        </w:rPr>
      </w:pPr>
      <w:r>
        <w:rPr>
          <w:rFonts w:eastAsia="Times New Roman" w:cs="Times New Roman" w:ascii="Times New Roman" w:hAnsi="Times New Roman"/>
          <w:b/>
          <w:sz w:val="22"/>
          <w:szCs w:val="22"/>
        </w:rPr>
        <w:t xml:space="preserve">                                                                                         </w:t>
      </w:r>
      <w:r>
        <w:rPr>
          <w:rFonts w:eastAsia="Times New Roman" w:cs="Times New Roman" w:ascii="Times New Roman" w:hAnsi="Times New Roman"/>
          <w:b/>
          <w:sz w:val="22"/>
          <w:szCs w:val="22"/>
        </w:rPr>
        <w:t>Tatijana Šipalo Lilić</w:t>
      </w:r>
      <w:r>
        <w:rPr>
          <w:rFonts w:cs="Times New Roman" w:ascii="Times New Roman" w:hAnsi="Times New Roman"/>
          <w:b/>
          <w:sz w:val="22"/>
          <w:szCs w:val="22"/>
        </w:rPr>
        <w:t>, dr. med.</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 w:val="24"/>
        <w:lang w:val="hr-HR" w:eastAsia="zh-CN" w:bidi="hi-IN"/>
      </w:rPr>
    </w:rPrDefault>
    <w:pPrDefault>
      <w:pPr>
        <w:suppressAutoHyphens w:val="true"/>
      </w:pPr>
    </w:pPrDefault>
  </w:docDefaults>
  <w:style w:type="paragraph" w:styleId="Normal" w:default="1">
    <w:name w:val="Normal"/>
    <w:qFormat/>
    <w:pPr>
      <w:widowControl w:val="false"/>
      <w:suppressAutoHyphens w:val="true"/>
      <w:bidi w:val="0"/>
      <w:spacing w:before="0" w:after="0"/>
      <w:jc w:val="left"/>
    </w:pPr>
    <w:rPr>
      <w:rFonts w:ascii="Times New Roman" w:hAnsi="Times New Roman" w:eastAsia="NSimSun" w:cs="Lucida Sans"/>
      <w:color w:val="auto"/>
      <w:kern w:val="0"/>
      <w:sz w:val="24"/>
      <w:szCs w:val="20"/>
      <w:lang w:val="hr-HR"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TotalTime>
  <Application>LibreOffice/7.6.0.3$Windows_X86_64 LibreOffice_project/69edd8b8ebc41d00b4de3915dc82f8f0fc3b6265</Application>
  <AppVersion>15.0000</AppVersion>
  <Pages>13</Pages>
  <Words>3788</Words>
  <Characters>22841</Characters>
  <CharactersWithSpaces>26400</CharactersWithSpaces>
  <Paragraphs>673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hr-HR</dc:language>
  <cp:lastModifiedBy/>
  <cp:lastPrinted>2026-01-28T08:33:32Z</cp:lastPrinted>
  <dcterms:modified xsi:type="dcterms:W3CDTF">2026-01-28T08:43:02Z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